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71" w:rsidRPr="00625471" w:rsidRDefault="00625471" w:rsidP="00625471">
      <w:pPr>
        <w:spacing w:after="0" w:line="240" w:lineRule="auto"/>
        <w:jc w:val="center"/>
        <w:rPr>
          <w:rFonts w:ascii="Times New Roman" w:eastAsia="Times New Roman" w:hAnsi="Times New Roman" w:cs="Times New Roman"/>
          <w:b/>
          <w:color w:val="000000"/>
          <w:sz w:val="28"/>
          <w:szCs w:val="28"/>
          <w:lang w:eastAsia="lv-LV"/>
        </w:rPr>
      </w:pPr>
      <w:bookmarkStart w:id="0" w:name="_GoBack"/>
      <w:r w:rsidRPr="00625471">
        <w:rPr>
          <w:rFonts w:ascii="Times New Roman" w:eastAsia="Times New Roman" w:hAnsi="Times New Roman" w:cs="Times New Roman"/>
          <w:b/>
          <w:color w:val="000000"/>
          <w:sz w:val="28"/>
          <w:szCs w:val="28"/>
          <w:lang w:eastAsia="lv-LV"/>
        </w:rPr>
        <w:t>Kapitālsabiedrības finanšu un nefinanšu mērķ</w:t>
      </w:r>
      <w:r w:rsidR="005F3EBB">
        <w:rPr>
          <w:rFonts w:ascii="Times New Roman" w:eastAsia="Times New Roman" w:hAnsi="Times New Roman" w:cs="Times New Roman"/>
          <w:b/>
          <w:color w:val="000000"/>
          <w:sz w:val="28"/>
          <w:szCs w:val="28"/>
          <w:lang w:eastAsia="lv-LV"/>
        </w:rPr>
        <w:t>i</w:t>
      </w:r>
      <w:r w:rsidRPr="00625471">
        <w:rPr>
          <w:rFonts w:ascii="Times New Roman" w:eastAsia="Times New Roman" w:hAnsi="Times New Roman" w:cs="Times New Roman"/>
          <w:b/>
          <w:color w:val="000000"/>
          <w:sz w:val="28"/>
          <w:szCs w:val="28"/>
          <w:lang w:eastAsia="lv-LV"/>
        </w:rPr>
        <w:t xml:space="preserve"> </w:t>
      </w:r>
    </w:p>
    <w:p w:rsidR="00655727" w:rsidRDefault="00655727" w:rsidP="00655727">
      <w:pPr>
        <w:pStyle w:val="Default"/>
      </w:pPr>
    </w:p>
    <w:p w:rsidR="00B45D25" w:rsidRDefault="00655727" w:rsidP="00B45D25">
      <w:pPr>
        <w:pStyle w:val="Default"/>
        <w:jc w:val="both"/>
      </w:pPr>
      <w:r>
        <w:t xml:space="preserve"> </w:t>
      </w:r>
      <w:r w:rsidR="00B45D25">
        <w:t>SIA “VALMIERAS NAMSAIMNIEKS” ir uzticams partneris daudzdzīvokļu dzīvojamo māju pārvaldīšanā, kas nodrošina kvalitatīvus pakalpojumus, atbilstoši dzīvokļu īpašnieku pieņemtajiem lēmumiem, īsteno efektīvu finanšu līdzekļu izlietojumu dzīvojamā fonda saglabāšanai, uzlabošanai un energoefektivitātes paaugstināšanai.</w:t>
      </w:r>
    </w:p>
    <w:p w:rsidR="00C21A1C" w:rsidRDefault="00C21A1C" w:rsidP="00B45D25">
      <w:pPr>
        <w:pStyle w:val="Default"/>
        <w:jc w:val="both"/>
      </w:pPr>
    </w:p>
    <w:p w:rsidR="009B5403" w:rsidRDefault="009B5403" w:rsidP="00B45D25">
      <w:pPr>
        <w:pStyle w:val="Default"/>
        <w:jc w:val="both"/>
      </w:pPr>
      <w:r>
        <w:t>SIA “VALMIERAS NAMSAIMNIEKS” nodrošina vienotu Pašvaldības administratīvās teritorijas labiekārtošanu un sanitāro tīrību (ielu, ceļu un laukumu būvniecība, rekonstruēšana un uzturēšana, parku, skvēru un zaļo zonu ierīkošana un uzturēšana, kapsētu izveidošana un uzturēšana, dzīvnieku patversmes uzturēšana), tās apsaimni</w:t>
      </w:r>
      <w:r w:rsidR="00C21A1C">
        <w:t>e</w:t>
      </w:r>
      <w:r>
        <w:t>košanu, uzturēšanu un izmantošanu sabiedrības interesēs</w:t>
      </w:r>
      <w:r w:rsidR="009651FF">
        <w:t>, saskaņā ar minēto pārvaldes uzdevumu deleģēšanu.</w:t>
      </w:r>
    </w:p>
    <w:p w:rsidR="00C21A1C" w:rsidRDefault="00C21A1C" w:rsidP="00B45D25">
      <w:pPr>
        <w:pStyle w:val="Default"/>
        <w:jc w:val="both"/>
      </w:pPr>
    </w:p>
    <w:p w:rsidR="00F365A3" w:rsidRPr="0058568C" w:rsidRDefault="0058568C" w:rsidP="0058568C">
      <w:pPr>
        <w:pStyle w:val="Default"/>
        <w:jc w:val="center"/>
        <w:rPr>
          <w:b/>
          <w:sz w:val="28"/>
          <w:szCs w:val="28"/>
        </w:rPr>
      </w:pPr>
      <w:r w:rsidRPr="0058568C">
        <w:rPr>
          <w:b/>
          <w:sz w:val="28"/>
          <w:szCs w:val="28"/>
        </w:rPr>
        <w:t>Kapitālsabiedrības finanšu mērķi</w:t>
      </w:r>
    </w:p>
    <w:p w:rsidR="00B45D25" w:rsidRDefault="00B45D25" w:rsidP="00B45D25">
      <w:pPr>
        <w:pStyle w:val="Default"/>
        <w:jc w:val="both"/>
      </w:pPr>
    </w:p>
    <w:p w:rsidR="00655727" w:rsidRDefault="00655727" w:rsidP="00B45D25">
      <w:pPr>
        <w:pStyle w:val="Default"/>
        <w:jc w:val="both"/>
        <w:rPr>
          <w:sz w:val="22"/>
          <w:szCs w:val="22"/>
        </w:rPr>
      </w:pPr>
      <w:r w:rsidRPr="002B272E">
        <w:rPr>
          <w:bCs/>
          <w:sz w:val="22"/>
          <w:szCs w:val="22"/>
        </w:rPr>
        <w:t>SIA „</w:t>
      </w:r>
      <w:r w:rsidR="00143AC0" w:rsidRPr="002B272E">
        <w:rPr>
          <w:bCs/>
          <w:sz w:val="22"/>
          <w:szCs w:val="22"/>
        </w:rPr>
        <w:t>VALMIERAS NAMSAIMNIEKS</w:t>
      </w:r>
      <w:r w:rsidRPr="002B272E">
        <w:rPr>
          <w:bCs/>
          <w:sz w:val="22"/>
          <w:szCs w:val="22"/>
        </w:rPr>
        <w:t>” vidējā</w:t>
      </w:r>
      <w:r w:rsidRPr="0058568C">
        <w:rPr>
          <w:bCs/>
          <w:sz w:val="22"/>
          <w:szCs w:val="22"/>
        </w:rPr>
        <w:t xml:space="preserve"> termiņa mērķi ir</w:t>
      </w:r>
      <w:r>
        <w:rPr>
          <w:b/>
          <w:bCs/>
          <w:sz w:val="22"/>
          <w:szCs w:val="22"/>
        </w:rPr>
        <w:t xml:space="preserve"> </w:t>
      </w:r>
      <w:r>
        <w:rPr>
          <w:sz w:val="22"/>
          <w:szCs w:val="22"/>
        </w:rPr>
        <w:t xml:space="preserve">vērsti uz finanšu darbības stabilitātes nodrošināšanu, kas ir būtisks priekšnoteikums ilgtspējīgai pastāvēšanai un attīstībai: </w:t>
      </w:r>
    </w:p>
    <w:p w:rsidR="005A70FD" w:rsidRDefault="005A70FD" w:rsidP="00B45D25">
      <w:pPr>
        <w:pStyle w:val="Default"/>
        <w:jc w:val="both"/>
        <w:rPr>
          <w:sz w:val="22"/>
          <w:szCs w:val="22"/>
        </w:rPr>
      </w:pPr>
    </w:p>
    <w:p w:rsidR="00655727" w:rsidRDefault="00655727" w:rsidP="00B45D25">
      <w:pPr>
        <w:pStyle w:val="Default"/>
        <w:jc w:val="both"/>
        <w:rPr>
          <w:sz w:val="22"/>
          <w:szCs w:val="22"/>
        </w:rPr>
      </w:pPr>
      <w:r>
        <w:rPr>
          <w:sz w:val="22"/>
          <w:szCs w:val="22"/>
        </w:rPr>
        <w:t xml:space="preserve">1. </w:t>
      </w:r>
      <w:r>
        <w:rPr>
          <w:b/>
          <w:bCs/>
          <w:sz w:val="22"/>
          <w:szCs w:val="22"/>
        </w:rPr>
        <w:t>Saglabāt stabilu kopējo ieņēmumu apjomu, līdzsvarot izdevumus ar ieņēmumiem</w:t>
      </w:r>
      <w:r>
        <w:rPr>
          <w:sz w:val="22"/>
          <w:szCs w:val="22"/>
        </w:rPr>
        <w:t xml:space="preserve">. </w:t>
      </w:r>
    </w:p>
    <w:p w:rsidR="00655727" w:rsidRDefault="00655727" w:rsidP="00B45D25">
      <w:pPr>
        <w:pStyle w:val="Default"/>
        <w:spacing w:after="3"/>
        <w:jc w:val="both"/>
        <w:rPr>
          <w:sz w:val="22"/>
          <w:szCs w:val="22"/>
        </w:rPr>
      </w:pPr>
      <w:r>
        <w:rPr>
          <w:rFonts w:ascii="Calibri" w:hAnsi="Calibri" w:cs="Calibri"/>
          <w:sz w:val="22"/>
          <w:szCs w:val="22"/>
        </w:rPr>
        <w:t xml:space="preserve">- </w:t>
      </w:r>
      <w:r>
        <w:rPr>
          <w:sz w:val="22"/>
          <w:szCs w:val="22"/>
        </w:rPr>
        <w:t xml:space="preserve">Jaunu, konkurētspējīgu un efektīvu principu ieviešana dzīvojamo māju pārvaldīšanas pakalpojumu nodrošināšanā, kā arī sniedzot iespēju nākotnē piesaistīt jaunus klientus un palielinot kopējo ieņēmumu apjomu. </w:t>
      </w:r>
    </w:p>
    <w:p w:rsidR="00655727" w:rsidRDefault="00655727" w:rsidP="00B45D25">
      <w:pPr>
        <w:pStyle w:val="Default"/>
        <w:jc w:val="both"/>
        <w:rPr>
          <w:sz w:val="22"/>
          <w:szCs w:val="22"/>
        </w:rPr>
      </w:pPr>
      <w:r>
        <w:rPr>
          <w:rFonts w:ascii="Calibri" w:hAnsi="Calibri" w:cs="Calibri"/>
          <w:sz w:val="22"/>
          <w:szCs w:val="22"/>
        </w:rPr>
        <w:t xml:space="preserve">- </w:t>
      </w:r>
      <w:r>
        <w:rPr>
          <w:sz w:val="22"/>
          <w:szCs w:val="22"/>
        </w:rPr>
        <w:t>Jaunu komercdarbības pakalpojumu veidu ieviešana un attīstība</w:t>
      </w:r>
      <w:r w:rsidR="0058568C">
        <w:rPr>
          <w:sz w:val="22"/>
          <w:szCs w:val="22"/>
        </w:rPr>
        <w:t>.</w:t>
      </w:r>
      <w:r>
        <w:rPr>
          <w:sz w:val="22"/>
          <w:szCs w:val="22"/>
        </w:rPr>
        <w:t xml:space="preserve"> </w:t>
      </w:r>
    </w:p>
    <w:p w:rsidR="00655727" w:rsidRDefault="00655727" w:rsidP="00B45D25">
      <w:pPr>
        <w:pStyle w:val="Default"/>
        <w:jc w:val="both"/>
        <w:rPr>
          <w:sz w:val="22"/>
          <w:szCs w:val="22"/>
        </w:rPr>
      </w:pPr>
    </w:p>
    <w:p w:rsidR="00655727" w:rsidRDefault="00655727" w:rsidP="00B45D25">
      <w:pPr>
        <w:pStyle w:val="Default"/>
        <w:jc w:val="both"/>
        <w:rPr>
          <w:sz w:val="22"/>
          <w:szCs w:val="22"/>
        </w:rPr>
      </w:pPr>
      <w:r>
        <w:rPr>
          <w:sz w:val="22"/>
          <w:szCs w:val="22"/>
        </w:rPr>
        <w:t xml:space="preserve">2. </w:t>
      </w:r>
      <w:r>
        <w:rPr>
          <w:b/>
          <w:bCs/>
          <w:sz w:val="22"/>
          <w:szCs w:val="22"/>
        </w:rPr>
        <w:t>Nodrošināt debitoru parād</w:t>
      </w:r>
      <w:r w:rsidR="0058568C">
        <w:rPr>
          <w:b/>
          <w:bCs/>
          <w:sz w:val="22"/>
          <w:szCs w:val="22"/>
        </w:rPr>
        <w:t>u</w:t>
      </w:r>
      <w:r>
        <w:rPr>
          <w:b/>
          <w:bCs/>
          <w:sz w:val="22"/>
          <w:szCs w:val="22"/>
        </w:rPr>
        <w:t xml:space="preserve"> apjoma samazinājumu. </w:t>
      </w:r>
    </w:p>
    <w:p w:rsidR="00655727" w:rsidRDefault="00655727" w:rsidP="00B45D25">
      <w:pPr>
        <w:pStyle w:val="Default"/>
        <w:spacing w:after="6"/>
        <w:jc w:val="both"/>
        <w:rPr>
          <w:sz w:val="22"/>
          <w:szCs w:val="22"/>
        </w:rPr>
      </w:pPr>
      <w:r>
        <w:rPr>
          <w:rFonts w:ascii="Calibri" w:hAnsi="Calibri" w:cs="Calibri"/>
          <w:sz w:val="22"/>
          <w:szCs w:val="22"/>
        </w:rPr>
        <w:t xml:space="preserve">- </w:t>
      </w:r>
      <w:r>
        <w:rPr>
          <w:sz w:val="22"/>
          <w:szCs w:val="22"/>
        </w:rPr>
        <w:t>Debitoru parād</w:t>
      </w:r>
      <w:r w:rsidR="0058568C">
        <w:rPr>
          <w:sz w:val="22"/>
          <w:szCs w:val="22"/>
        </w:rPr>
        <w:t>u</w:t>
      </w:r>
      <w:r>
        <w:rPr>
          <w:sz w:val="22"/>
          <w:szCs w:val="22"/>
        </w:rPr>
        <w:t xml:space="preserve"> apjoms kā ļoti svarīgs naudas plūsmu ietekmējošs faktors. </w:t>
      </w:r>
    </w:p>
    <w:p w:rsidR="00655727" w:rsidRDefault="00655727" w:rsidP="00B45D25">
      <w:pPr>
        <w:pStyle w:val="Default"/>
        <w:spacing w:after="6"/>
        <w:jc w:val="both"/>
        <w:rPr>
          <w:sz w:val="22"/>
          <w:szCs w:val="22"/>
        </w:rPr>
      </w:pPr>
      <w:r>
        <w:rPr>
          <w:rFonts w:ascii="Calibri" w:hAnsi="Calibri" w:cs="Calibri"/>
          <w:sz w:val="22"/>
          <w:szCs w:val="22"/>
        </w:rPr>
        <w:t xml:space="preserve">- </w:t>
      </w:r>
      <w:r w:rsidR="0058568C">
        <w:rPr>
          <w:rFonts w:ascii="Calibri" w:hAnsi="Calibri" w:cs="Calibri"/>
          <w:sz w:val="22"/>
          <w:szCs w:val="22"/>
        </w:rPr>
        <w:t>U</w:t>
      </w:r>
      <w:r>
        <w:rPr>
          <w:sz w:val="22"/>
          <w:szCs w:val="22"/>
        </w:rPr>
        <w:t>zlabot debitoru parādu piedziņas pasākumu efektivitāti</w:t>
      </w:r>
      <w:r w:rsidR="0058568C">
        <w:rPr>
          <w:sz w:val="22"/>
          <w:szCs w:val="22"/>
        </w:rPr>
        <w:t>.</w:t>
      </w:r>
      <w:r>
        <w:rPr>
          <w:sz w:val="22"/>
          <w:szCs w:val="22"/>
        </w:rPr>
        <w:t xml:space="preserve"> </w:t>
      </w:r>
    </w:p>
    <w:p w:rsidR="00655727" w:rsidRDefault="00655727" w:rsidP="00B45D25">
      <w:pPr>
        <w:pStyle w:val="Default"/>
        <w:jc w:val="both"/>
        <w:rPr>
          <w:sz w:val="22"/>
          <w:szCs w:val="22"/>
        </w:rPr>
      </w:pPr>
      <w:r>
        <w:rPr>
          <w:rFonts w:ascii="Calibri" w:hAnsi="Calibri" w:cs="Calibri"/>
          <w:sz w:val="22"/>
          <w:szCs w:val="22"/>
        </w:rPr>
        <w:t xml:space="preserve">- </w:t>
      </w:r>
      <w:r>
        <w:rPr>
          <w:sz w:val="22"/>
          <w:szCs w:val="22"/>
        </w:rPr>
        <w:t>Samērot kreditoriem veicamos maksājumus ar klientu maksājumiem, ņemot vērā debitoru parādu atgūstamību, tād</w:t>
      </w:r>
      <w:r w:rsidR="00296312">
        <w:rPr>
          <w:sz w:val="22"/>
          <w:szCs w:val="22"/>
        </w:rPr>
        <w:t>ē</w:t>
      </w:r>
      <w:r>
        <w:rPr>
          <w:sz w:val="22"/>
          <w:szCs w:val="22"/>
        </w:rPr>
        <w:t xml:space="preserve">jādi uzlabojot apgrozāmo līdzekļu un īstermiņa kreditoru attiecību. </w:t>
      </w:r>
    </w:p>
    <w:p w:rsidR="00655727" w:rsidRDefault="00655727" w:rsidP="00B45D25">
      <w:pPr>
        <w:pStyle w:val="Default"/>
        <w:jc w:val="both"/>
        <w:rPr>
          <w:sz w:val="22"/>
          <w:szCs w:val="22"/>
        </w:rPr>
      </w:pPr>
    </w:p>
    <w:p w:rsidR="00655727" w:rsidRDefault="00CD2D09" w:rsidP="00B45D25">
      <w:pPr>
        <w:pStyle w:val="Default"/>
        <w:jc w:val="both"/>
        <w:rPr>
          <w:sz w:val="22"/>
          <w:szCs w:val="22"/>
        </w:rPr>
      </w:pPr>
      <w:r>
        <w:rPr>
          <w:sz w:val="22"/>
          <w:szCs w:val="22"/>
        </w:rPr>
        <w:t>3</w:t>
      </w:r>
      <w:r w:rsidR="00655727">
        <w:rPr>
          <w:sz w:val="22"/>
          <w:szCs w:val="22"/>
        </w:rPr>
        <w:t xml:space="preserve">. </w:t>
      </w:r>
      <w:r w:rsidR="00655727">
        <w:rPr>
          <w:b/>
          <w:bCs/>
          <w:sz w:val="22"/>
          <w:szCs w:val="22"/>
        </w:rPr>
        <w:t xml:space="preserve">Nodrošināt konkurētspējīgu personālu. </w:t>
      </w:r>
    </w:p>
    <w:p w:rsidR="00655727" w:rsidRDefault="00655727" w:rsidP="00B45D25">
      <w:pPr>
        <w:pStyle w:val="Default"/>
        <w:spacing w:after="13"/>
        <w:jc w:val="both"/>
        <w:rPr>
          <w:sz w:val="22"/>
          <w:szCs w:val="22"/>
        </w:rPr>
      </w:pPr>
      <w:r>
        <w:rPr>
          <w:rFonts w:ascii="Calibri" w:hAnsi="Calibri" w:cs="Calibri"/>
          <w:sz w:val="22"/>
          <w:szCs w:val="22"/>
        </w:rPr>
        <w:t xml:space="preserve">- </w:t>
      </w:r>
      <w:r>
        <w:rPr>
          <w:sz w:val="22"/>
          <w:szCs w:val="22"/>
        </w:rPr>
        <w:t xml:space="preserve">Efektīvas pārvaldības struktūras formēšana un darbinieku skaita optimizācija, samazinot funkciju izpildei nepieciešamo resursu izmaksas. </w:t>
      </w:r>
    </w:p>
    <w:p w:rsidR="00655727" w:rsidRDefault="00655727" w:rsidP="00B45D25">
      <w:pPr>
        <w:pStyle w:val="Default"/>
        <w:jc w:val="both"/>
        <w:rPr>
          <w:sz w:val="22"/>
          <w:szCs w:val="22"/>
        </w:rPr>
      </w:pPr>
      <w:r>
        <w:rPr>
          <w:rFonts w:ascii="Calibri" w:hAnsi="Calibri" w:cs="Calibri"/>
          <w:sz w:val="22"/>
          <w:szCs w:val="22"/>
        </w:rPr>
        <w:t xml:space="preserve">- </w:t>
      </w:r>
      <w:r>
        <w:rPr>
          <w:sz w:val="22"/>
          <w:szCs w:val="22"/>
        </w:rPr>
        <w:t xml:space="preserve">Motivējoša un konkurētspējīga atalgojuma nodrošināšana darbiniekiem, ņemot vērā veicamā darba sarežģītību un vidējo darba samaksas apmēru valstī. </w:t>
      </w:r>
    </w:p>
    <w:p w:rsidR="00655727" w:rsidRDefault="00655727" w:rsidP="00655727">
      <w:pPr>
        <w:pStyle w:val="Default"/>
        <w:rPr>
          <w:sz w:val="22"/>
          <w:szCs w:val="22"/>
        </w:rPr>
      </w:pPr>
    </w:p>
    <w:p w:rsidR="00655727" w:rsidRDefault="00CD2D09" w:rsidP="00655727">
      <w:pPr>
        <w:pStyle w:val="Default"/>
        <w:rPr>
          <w:sz w:val="22"/>
          <w:szCs w:val="22"/>
        </w:rPr>
      </w:pPr>
      <w:r>
        <w:rPr>
          <w:sz w:val="22"/>
          <w:szCs w:val="22"/>
        </w:rPr>
        <w:t>4</w:t>
      </w:r>
      <w:r w:rsidR="00655727">
        <w:rPr>
          <w:sz w:val="22"/>
          <w:szCs w:val="22"/>
        </w:rPr>
        <w:t xml:space="preserve">. </w:t>
      </w:r>
      <w:r w:rsidR="00655727">
        <w:rPr>
          <w:b/>
          <w:bCs/>
          <w:sz w:val="22"/>
          <w:szCs w:val="22"/>
        </w:rPr>
        <w:t xml:space="preserve">Saglabāt esošo peļņas apjomu, nodrošināt stabila un maksātspējīga uzņēmuma finansiālo pamatu. </w:t>
      </w:r>
    </w:p>
    <w:p w:rsidR="00CD2D09" w:rsidRDefault="00655727" w:rsidP="00655727">
      <w:pPr>
        <w:pStyle w:val="Default"/>
        <w:rPr>
          <w:sz w:val="22"/>
          <w:szCs w:val="22"/>
        </w:rPr>
      </w:pPr>
      <w:r>
        <w:rPr>
          <w:rFonts w:ascii="Calibri" w:hAnsi="Calibri" w:cs="Calibri"/>
          <w:sz w:val="22"/>
          <w:szCs w:val="22"/>
        </w:rPr>
        <w:t xml:space="preserve">- </w:t>
      </w:r>
      <w:r>
        <w:rPr>
          <w:sz w:val="22"/>
          <w:szCs w:val="22"/>
        </w:rPr>
        <w:t>Vidējā termiņā stabilizēt ieņēmumu apjomu, gūstot peļņu no saimnieciskās darbības līdz 1% no neto apgrozījuma.</w:t>
      </w:r>
    </w:p>
    <w:p w:rsidR="00655727" w:rsidRDefault="00655727" w:rsidP="00655727">
      <w:pPr>
        <w:pStyle w:val="Default"/>
        <w:rPr>
          <w:sz w:val="22"/>
          <w:szCs w:val="22"/>
        </w:rPr>
      </w:pPr>
      <w:r>
        <w:rPr>
          <w:sz w:val="22"/>
          <w:szCs w:val="22"/>
        </w:rPr>
        <w:t xml:space="preserve"> </w:t>
      </w:r>
    </w:p>
    <w:p w:rsidR="00CD2D09" w:rsidRDefault="00CD2D09" w:rsidP="00CD2D09">
      <w:pPr>
        <w:pStyle w:val="Default"/>
        <w:jc w:val="both"/>
        <w:rPr>
          <w:sz w:val="22"/>
          <w:szCs w:val="22"/>
        </w:rPr>
      </w:pPr>
      <w:r w:rsidRPr="00CD2D09">
        <w:rPr>
          <w:bCs/>
          <w:sz w:val="22"/>
          <w:szCs w:val="22"/>
        </w:rPr>
        <w:t>5.</w:t>
      </w:r>
      <w:r>
        <w:rPr>
          <w:b/>
          <w:bCs/>
          <w:sz w:val="22"/>
          <w:szCs w:val="22"/>
        </w:rPr>
        <w:t xml:space="preserve"> Piesaistīt līdzekļus pārvaldīšanā esošo dzīvojamo māju siltumnoturības un tehniskā stāvokļa uzlabošanai. </w:t>
      </w:r>
    </w:p>
    <w:p w:rsidR="00CD2D09" w:rsidRDefault="00CD2D09" w:rsidP="00CD2D09">
      <w:pPr>
        <w:pStyle w:val="Default"/>
        <w:jc w:val="both"/>
        <w:rPr>
          <w:sz w:val="22"/>
          <w:szCs w:val="22"/>
        </w:rPr>
      </w:pPr>
      <w:r>
        <w:rPr>
          <w:rFonts w:ascii="Calibri" w:hAnsi="Calibri" w:cs="Calibri"/>
          <w:sz w:val="22"/>
          <w:szCs w:val="22"/>
        </w:rPr>
        <w:t xml:space="preserve">- </w:t>
      </w:r>
      <w:r>
        <w:rPr>
          <w:sz w:val="22"/>
          <w:szCs w:val="22"/>
        </w:rPr>
        <w:t xml:space="preserve">Investīciju projektu īstenošana pārvaldīšanā esošo dzīvojamo māju atjaunošanā, atbilstoši dzīvokļu īpašnieku pieņemtajiem lēmumiem, piesaistot ERAF finansējumu investīciju projektu realizēšanai, rezultātā uzlabojot pārvaldīšanā esošo dzīvojamo māju tehnisko stāvokli. </w:t>
      </w:r>
    </w:p>
    <w:p w:rsidR="005A70FD" w:rsidRDefault="005A70FD"/>
    <w:p w:rsidR="005A70FD" w:rsidRDefault="005A70FD"/>
    <w:p w:rsidR="005A70FD" w:rsidRDefault="005A70FD"/>
    <w:p w:rsidR="005A70FD" w:rsidRDefault="005A70FD"/>
    <w:p w:rsidR="005A70FD" w:rsidRDefault="005A70FD"/>
    <w:p w:rsidR="00ED34CF" w:rsidRDefault="00ED34CF"/>
    <w:p w:rsidR="00A136F6" w:rsidRDefault="00A136F6"/>
    <w:p w:rsidR="005A70FD" w:rsidRDefault="005A70FD"/>
    <w:p w:rsidR="005A70FD" w:rsidRPr="00536CC9" w:rsidRDefault="005A70FD" w:rsidP="005A70FD">
      <w:pPr>
        <w:spacing w:after="0"/>
        <w:jc w:val="center"/>
        <w:rPr>
          <w:rFonts w:ascii="Times New Roman" w:hAnsi="Times New Roman" w:cs="Times New Roman"/>
          <w:b/>
          <w:sz w:val="24"/>
          <w:szCs w:val="24"/>
        </w:rPr>
      </w:pPr>
      <w:r w:rsidRPr="00536CC9">
        <w:rPr>
          <w:rFonts w:ascii="Times New Roman" w:hAnsi="Times New Roman" w:cs="Times New Roman"/>
          <w:b/>
          <w:sz w:val="24"/>
          <w:szCs w:val="24"/>
        </w:rPr>
        <w:lastRenderedPageBreak/>
        <w:t>SIA “VALMIERAS NAMSAIMNIEKS”</w:t>
      </w:r>
    </w:p>
    <w:p w:rsidR="005A70FD" w:rsidRPr="006E0D50" w:rsidRDefault="005A70FD" w:rsidP="005A70FD">
      <w:pPr>
        <w:spacing w:after="0"/>
        <w:jc w:val="center"/>
        <w:rPr>
          <w:rFonts w:ascii="Times New Roman" w:hAnsi="Times New Roman" w:cs="Times New Roman"/>
          <w:b/>
          <w:sz w:val="28"/>
          <w:szCs w:val="28"/>
        </w:rPr>
      </w:pPr>
      <w:r w:rsidRPr="00536CC9">
        <w:rPr>
          <w:rFonts w:ascii="Times New Roman" w:hAnsi="Times New Roman" w:cs="Times New Roman"/>
          <w:b/>
          <w:sz w:val="24"/>
          <w:szCs w:val="24"/>
        </w:rPr>
        <w:t xml:space="preserve">Vidēja termiņa </w:t>
      </w:r>
      <w:r w:rsidR="008E14B7" w:rsidRPr="00536CC9">
        <w:rPr>
          <w:rFonts w:ascii="Times New Roman" w:hAnsi="Times New Roman" w:cs="Times New Roman"/>
          <w:b/>
          <w:sz w:val="24"/>
          <w:szCs w:val="24"/>
        </w:rPr>
        <w:t>stratēģijā</w:t>
      </w:r>
      <w:r w:rsidRPr="00536CC9">
        <w:rPr>
          <w:rFonts w:ascii="Times New Roman" w:hAnsi="Times New Roman" w:cs="Times New Roman"/>
          <w:b/>
          <w:sz w:val="24"/>
          <w:szCs w:val="24"/>
        </w:rPr>
        <w:t xml:space="preserve"> izvirzīto finanšu mērķu sasniegšanas izpilde 2017.</w:t>
      </w:r>
      <w:r w:rsidR="006E0D50" w:rsidRPr="00536CC9">
        <w:rPr>
          <w:rFonts w:ascii="Times New Roman" w:hAnsi="Times New Roman" w:cs="Times New Roman"/>
          <w:b/>
          <w:sz w:val="24"/>
          <w:szCs w:val="24"/>
        </w:rPr>
        <w:t>gad</w:t>
      </w:r>
      <w:r w:rsidR="00A136F6">
        <w:rPr>
          <w:rFonts w:ascii="Times New Roman" w:hAnsi="Times New Roman" w:cs="Times New Roman"/>
          <w:b/>
          <w:sz w:val="24"/>
          <w:szCs w:val="24"/>
        </w:rPr>
        <w:t>ā</w:t>
      </w:r>
    </w:p>
    <w:tbl>
      <w:tblPr>
        <w:tblStyle w:val="Reatabula"/>
        <w:tblW w:w="0" w:type="auto"/>
        <w:tblLook w:val="04A0" w:firstRow="1" w:lastRow="0" w:firstColumn="1" w:lastColumn="0" w:noHBand="0" w:noVBand="1"/>
      </w:tblPr>
      <w:tblGrid>
        <w:gridCol w:w="959"/>
        <w:gridCol w:w="3402"/>
        <w:gridCol w:w="1843"/>
        <w:gridCol w:w="1905"/>
        <w:gridCol w:w="2028"/>
      </w:tblGrid>
      <w:tr w:rsidR="00541201" w:rsidRPr="003A2279" w:rsidTr="003A2279">
        <w:tc>
          <w:tcPr>
            <w:tcW w:w="959" w:type="dxa"/>
            <w:vMerge w:val="restart"/>
          </w:tcPr>
          <w:p w:rsidR="00541201" w:rsidRPr="003A2279" w:rsidRDefault="00541201" w:rsidP="005A70FD">
            <w:pPr>
              <w:rPr>
                <w:rFonts w:ascii="Times New Roman" w:hAnsi="Times New Roman" w:cs="Times New Roman"/>
                <w:b/>
              </w:rPr>
            </w:pPr>
          </w:p>
        </w:tc>
        <w:tc>
          <w:tcPr>
            <w:tcW w:w="3402" w:type="dxa"/>
            <w:vMerge w:val="restart"/>
            <w:vAlign w:val="center"/>
          </w:tcPr>
          <w:p w:rsidR="00541201" w:rsidRPr="003A2279" w:rsidRDefault="00541201" w:rsidP="00541201">
            <w:pPr>
              <w:jc w:val="center"/>
              <w:rPr>
                <w:rFonts w:ascii="Times New Roman" w:hAnsi="Times New Roman" w:cs="Times New Roman"/>
                <w:b/>
              </w:rPr>
            </w:pPr>
            <w:r w:rsidRPr="003A2279">
              <w:rPr>
                <w:rFonts w:ascii="Times New Roman" w:hAnsi="Times New Roman" w:cs="Times New Roman"/>
                <w:b/>
              </w:rPr>
              <w:t>Rādītāji</w:t>
            </w:r>
          </w:p>
        </w:tc>
        <w:tc>
          <w:tcPr>
            <w:tcW w:w="1843" w:type="dxa"/>
          </w:tcPr>
          <w:p w:rsidR="00541201" w:rsidRPr="003A2279" w:rsidRDefault="00541201" w:rsidP="00541201">
            <w:pPr>
              <w:jc w:val="center"/>
              <w:rPr>
                <w:rFonts w:ascii="Times New Roman" w:hAnsi="Times New Roman" w:cs="Times New Roman"/>
                <w:b/>
              </w:rPr>
            </w:pPr>
            <w:r w:rsidRPr="003A2279">
              <w:rPr>
                <w:rFonts w:ascii="Times New Roman" w:hAnsi="Times New Roman" w:cs="Times New Roman"/>
                <w:b/>
              </w:rPr>
              <w:t>Fakts</w:t>
            </w:r>
          </w:p>
        </w:tc>
        <w:tc>
          <w:tcPr>
            <w:tcW w:w="1905" w:type="dxa"/>
          </w:tcPr>
          <w:p w:rsidR="00541201" w:rsidRPr="003A2279" w:rsidRDefault="00541201" w:rsidP="00541201">
            <w:pPr>
              <w:jc w:val="center"/>
              <w:rPr>
                <w:rFonts w:ascii="Times New Roman" w:hAnsi="Times New Roman" w:cs="Times New Roman"/>
                <w:b/>
              </w:rPr>
            </w:pPr>
            <w:r w:rsidRPr="003A2279">
              <w:rPr>
                <w:rFonts w:ascii="Times New Roman" w:hAnsi="Times New Roman" w:cs="Times New Roman"/>
                <w:b/>
              </w:rPr>
              <w:t>Fakts</w:t>
            </w:r>
          </w:p>
        </w:tc>
        <w:tc>
          <w:tcPr>
            <w:tcW w:w="2028" w:type="dxa"/>
          </w:tcPr>
          <w:p w:rsidR="00541201" w:rsidRPr="003A2279" w:rsidRDefault="00541201" w:rsidP="00541201">
            <w:pPr>
              <w:jc w:val="center"/>
              <w:rPr>
                <w:rFonts w:ascii="Times New Roman" w:hAnsi="Times New Roman" w:cs="Times New Roman"/>
                <w:b/>
              </w:rPr>
            </w:pPr>
            <w:r w:rsidRPr="003A2279">
              <w:rPr>
                <w:rFonts w:ascii="Times New Roman" w:hAnsi="Times New Roman" w:cs="Times New Roman"/>
                <w:b/>
              </w:rPr>
              <w:t>Plāns</w:t>
            </w:r>
          </w:p>
        </w:tc>
      </w:tr>
      <w:tr w:rsidR="00541201" w:rsidTr="003A2279">
        <w:tc>
          <w:tcPr>
            <w:tcW w:w="959" w:type="dxa"/>
            <w:vMerge/>
          </w:tcPr>
          <w:p w:rsidR="00541201" w:rsidRPr="00541201" w:rsidRDefault="00541201" w:rsidP="005A70FD">
            <w:pPr>
              <w:rPr>
                <w:rFonts w:ascii="Times New Roman" w:hAnsi="Times New Roman" w:cs="Times New Roman"/>
              </w:rPr>
            </w:pPr>
          </w:p>
        </w:tc>
        <w:tc>
          <w:tcPr>
            <w:tcW w:w="3402" w:type="dxa"/>
            <w:vMerge/>
          </w:tcPr>
          <w:p w:rsidR="00541201" w:rsidRPr="00541201" w:rsidRDefault="00541201" w:rsidP="005A70FD">
            <w:pPr>
              <w:rPr>
                <w:rFonts w:ascii="Times New Roman" w:hAnsi="Times New Roman" w:cs="Times New Roman"/>
              </w:rPr>
            </w:pPr>
          </w:p>
        </w:tc>
        <w:tc>
          <w:tcPr>
            <w:tcW w:w="1843" w:type="dxa"/>
          </w:tcPr>
          <w:p w:rsidR="00541201" w:rsidRPr="003A2279" w:rsidRDefault="00541201" w:rsidP="00541201">
            <w:pPr>
              <w:jc w:val="center"/>
              <w:rPr>
                <w:rFonts w:ascii="Times New Roman" w:hAnsi="Times New Roman" w:cs="Times New Roman"/>
                <w:b/>
              </w:rPr>
            </w:pPr>
            <w:r w:rsidRPr="003A2279">
              <w:rPr>
                <w:rFonts w:ascii="Times New Roman" w:hAnsi="Times New Roman" w:cs="Times New Roman"/>
                <w:b/>
              </w:rPr>
              <w:t>2016</w:t>
            </w:r>
          </w:p>
        </w:tc>
        <w:tc>
          <w:tcPr>
            <w:tcW w:w="1905" w:type="dxa"/>
          </w:tcPr>
          <w:p w:rsidR="00541201" w:rsidRPr="003A2279" w:rsidRDefault="00541201" w:rsidP="00541201">
            <w:pPr>
              <w:jc w:val="center"/>
              <w:rPr>
                <w:rFonts w:ascii="Times New Roman" w:hAnsi="Times New Roman" w:cs="Times New Roman"/>
                <w:b/>
              </w:rPr>
            </w:pPr>
            <w:r w:rsidRPr="003A2279">
              <w:rPr>
                <w:rFonts w:ascii="Times New Roman" w:hAnsi="Times New Roman" w:cs="Times New Roman"/>
                <w:b/>
              </w:rPr>
              <w:t>2017</w:t>
            </w:r>
          </w:p>
        </w:tc>
        <w:tc>
          <w:tcPr>
            <w:tcW w:w="2028" w:type="dxa"/>
          </w:tcPr>
          <w:p w:rsidR="00541201" w:rsidRPr="003A2279" w:rsidRDefault="00541201" w:rsidP="00541201">
            <w:pPr>
              <w:jc w:val="center"/>
              <w:rPr>
                <w:rFonts w:ascii="Times New Roman" w:hAnsi="Times New Roman" w:cs="Times New Roman"/>
                <w:b/>
              </w:rPr>
            </w:pPr>
            <w:r w:rsidRPr="003A2279">
              <w:rPr>
                <w:rFonts w:ascii="Times New Roman" w:hAnsi="Times New Roman" w:cs="Times New Roman"/>
                <w:b/>
              </w:rPr>
              <w:t>2018</w:t>
            </w:r>
          </w:p>
        </w:tc>
      </w:tr>
      <w:tr w:rsidR="00832878" w:rsidTr="003A2279">
        <w:tc>
          <w:tcPr>
            <w:tcW w:w="959" w:type="dxa"/>
          </w:tcPr>
          <w:p w:rsidR="00832878" w:rsidRPr="00541201" w:rsidRDefault="00832878" w:rsidP="005A70FD">
            <w:pPr>
              <w:rPr>
                <w:rFonts w:ascii="Times New Roman" w:hAnsi="Times New Roman" w:cs="Times New Roman"/>
              </w:rPr>
            </w:pPr>
          </w:p>
        </w:tc>
        <w:tc>
          <w:tcPr>
            <w:tcW w:w="3402" w:type="dxa"/>
          </w:tcPr>
          <w:p w:rsidR="00832878" w:rsidRPr="00541201" w:rsidRDefault="00832878" w:rsidP="005A70FD">
            <w:pPr>
              <w:rPr>
                <w:rFonts w:ascii="Times New Roman" w:hAnsi="Times New Roman" w:cs="Times New Roman"/>
              </w:rPr>
            </w:pPr>
          </w:p>
        </w:tc>
        <w:tc>
          <w:tcPr>
            <w:tcW w:w="1843" w:type="dxa"/>
          </w:tcPr>
          <w:p w:rsidR="00832878" w:rsidRPr="003A2279" w:rsidRDefault="001D1FD4" w:rsidP="00541201">
            <w:pPr>
              <w:jc w:val="center"/>
              <w:rPr>
                <w:rFonts w:ascii="Times New Roman" w:hAnsi="Times New Roman" w:cs="Times New Roman"/>
                <w:b/>
              </w:rPr>
            </w:pPr>
            <w:r>
              <w:rPr>
                <w:rFonts w:ascii="Times New Roman" w:hAnsi="Times New Roman" w:cs="Times New Roman"/>
                <w:b/>
              </w:rPr>
              <w:t>EUR</w:t>
            </w:r>
          </w:p>
        </w:tc>
        <w:tc>
          <w:tcPr>
            <w:tcW w:w="1905" w:type="dxa"/>
          </w:tcPr>
          <w:p w:rsidR="00832878" w:rsidRPr="003A2279" w:rsidRDefault="001D1FD4" w:rsidP="00541201">
            <w:pPr>
              <w:jc w:val="center"/>
              <w:rPr>
                <w:rFonts w:ascii="Times New Roman" w:hAnsi="Times New Roman" w:cs="Times New Roman"/>
                <w:b/>
              </w:rPr>
            </w:pPr>
            <w:r>
              <w:rPr>
                <w:rFonts w:ascii="Times New Roman" w:hAnsi="Times New Roman" w:cs="Times New Roman"/>
                <w:b/>
              </w:rPr>
              <w:t>EUR</w:t>
            </w:r>
          </w:p>
        </w:tc>
        <w:tc>
          <w:tcPr>
            <w:tcW w:w="2028" w:type="dxa"/>
          </w:tcPr>
          <w:p w:rsidR="00832878" w:rsidRPr="003A2279" w:rsidRDefault="001D1FD4" w:rsidP="00541201">
            <w:pPr>
              <w:jc w:val="center"/>
              <w:rPr>
                <w:rFonts w:ascii="Times New Roman" w:hAnsi="Times New Roman" w:cs="Times New Roman"/>
                <w:b/>
              </w:rPr>
            </w:pPr>
            <w:r>
              <w:rPr>
                <w:rFonts w:ascii="Times New Roman" w:hAnsi="Times New Roman" w:cs="Times New Roman"/>
                <w:b/>
              </w:rPr>
              <w:t>EUR</w:t>
            </w:r>
          </w:p>
        </w:tc>
      </w:tr>
      <w:tr w:rsidR="00541201" w:rsidTr="003A2279">
        <w:tc>
          <w:tcPr>
            <w:tcW w:w="959" w:type="dxa"/>
          </w:tcPr>
          <w:p w:rsidR="00541201" w:rsidRPr="00541201" w:rsidRDefault="00541201" w:rsidP="00541201">
            <w:pPr>
              <w:jc w:val="center"/>
              <w:rPr>
                <w:rFonts w:ascii="Times New Roman" w:hAnsi="Times New Roman" w:cs="Times New Roman"/>
                <w:sz w:val="16"/>
                <w:szCs w:val="16"/>
              </w:rPr>
            </w:pPr>
            <w:r w:rsidRPr="00541201">
              <w:rPr>
                <w:rFonts w:ascii="Times New Roman" w:hAnsi="Times New Roman" w:cs="Times New Roman"/>
                <w:sz w:val="16"/>
                <w:szCs w:val="16"/>
              </w:rPr>
              <w:t>1</w:t>
            </w:r>
          </w:p>
        </w:tc>
        <w:tc>
          <w:tcPr>
            <w:tcW w:w="3402" w:type="dxa"/>
          </w:tcPr>
          <w:p w:rsidR="00541201" w:rsidRPr="00541201" w:rsidRDefault="00541201" w:rsidP="00541201">
            <w:pPr>
              <w:jc w:val="center"/>
              <w:rPr>
                <w:rFonts w:ascii="Times New Roman" w:hAnsi="Times New Roman" w:cs="Times New Roman"/>
                <w:sz w:val="16"/>
                <w:szCs w:val="16"/>
              </w:rPr>
            </w:pPr>
            <w:r w:rsidRPr="00541201">
              <w:rPr>
                <w:rFonts w:ascii="Times New Roman" w:hAnsi="Times New Roman" w:cs="Times New Roman"/>
                <w:sz w:val="16"/>
                <w:szCs w:val="16"/>
              </w:rPr>
              <w:t>2</w:t>
            </w:r>
          </w:p>
        </w:tc>
        <w:tc>
          <w:tcPr>
            <w:tcW w:w="1843" w:type="dxa"/>
          </w:tcPr>
          <w:p w:rsidR="00541201" w:rsidRPr="00541201" w:rsidRDefault="00541201" w:rsidP="00541201">
            <w:pPr>
              <w:jc w:val="center"/>
              <w:rPr>
                <w:rFonts w:ascii="Times New Roman" w:hAnsi="Times New Roman" w:cs="Times New Roman"/>
                <w:sz w:val="16"/>
                <w:szCs w:val="16"/>
              </w:rPr>
            </w:pPr>
            <w:r w:rsidRPr="00541201">
              <w:rPr>
                <w:rFonts w:ascii="Times New Roman" w:hAnsi="Times New Roman" w:cs="Times New Roman"/>
                <w:sz w:val="16"/>
                <w:szCs w:val="16"/>
              </w:rPr>
              <w:t>3</w:t>
            </w:r>
          </w:p>
        </w:tc>
        <w:tc>
          <w:tcPr>
            <w:tcW w:w="1905" w:type="dxa"/>
          </w:tcPr>
          <w:p w:rsidR="00541201" w:rsidRPr="00541201" w:rsidRDefault="00541201" w:rsidP="00541201">
            <w:pPr>
              <w:jc w:val="center"/>
              <w:rPr>
                <w:rFonts w:ascii="Times New Roman" w:hAnsi="Times New Roman" w:cs="Times New Roman"/>
                <w:sz w:val="16"/>
                <w:szCs w:val="16"/>
              </w:rPr>
            </w:pPr>
            <w:r w:rsidRPr="00541201">
              <w:rPr>
                <w:rFonts w:ascii="Times New Roman" w:hAnsi="Times New Roman" w:cs="Times New Roman"/>
                <w:sz w:val="16"/>
                <w:szCs w:val="16"/>
              </w:rPr>
              <w:t>4</w:t>
            </w:r>
          </w:p>
        </w:tc>
        <w:tc>
          <w:tcPr>
            <w:tcW w:w="2028" w:type="dxa"/>
          </w:tcPr>
          <w:p w:rsidR="00541201" w:rsidRPr="00541201" w:rsidRDefault="00541201" w:rsidP="00541201">
            <w:pPr>
              <w:jc w:val="center"/>
              <w:rPr>
                <w:rFonts w:ascii="Times New Roman" w:hAnsi="Times New Roman" w:cs="Times New Roman"/>
                <w:sz w:val="16"/>
                <w:szCs w:val="16"/>
              </w:rPr>
            </w:pPr>
            <w:r w:rsidRPr="00541201">
              <w:rPr>
                <w:rFonts w:ascii="Times New Roman" w:hAnsi="Times New Roman" w:cs="Times New Roman"/>
                <w:sz w:val="16"/>
                <w:szCs w:val="16"/>
              </w:rPr>
              <w:t>5</w:t>
            </w:r>
          </w:p>
        </w:tc>
      </w:tr>
      <w:tr w:rsidR="00541201" w:rsidRPr="00541201" w:rsidTr="003A2279">
        <w:tc>
          <w:tcPr>
            <w:tcW w:w="959" w:type="dxa"/>
            <w:vAlign w:val="center"/>
          </w:tcPr>
          <w:p w:rsidR="00541201" w:rsidRPr="000F726D" w:rsidRDefault="00541201" w:rsidP="00541201">
            <w:pPr>
              <w:jc w:val="center"/>
              <w:rPr>
                <w:rFonts w:ascii="Times New Roman" w:hAnsi="Times New Roman" w:cs="Times New Roman"/>
                <w:b/>
              </w:rPr>
            </w:pPr>
            <w:r w:rsidRPr="000F726D">
              <w:rPr>
                <w:rFonts w:ascii="Times New Roman" w:hAnsi="Times New Roman" w:cs="Times New Roman"/>
                <w:b/>
              </w:rPr>
              <w:t>1.</w:t>
            </w:r>
          </w:p>
        </w:tc>
        <w:tc>
          <w:tcPr>
            <w:tcW w:w="3402" w:type="dxa"/>
            <w:vAlign w:val="center"/>
          </w:tcPr>
          <w:p w:rsidR="00541201" w:rsidRPr="003A2279" w:rsidRDefault="00541201" w:rsidP="003A2279">
            <w:pPr>
              <w:rPr>
                <w:rFonts w:ascii="Times New Roman" w:hAnsi="Times New Roman" w:cs="Times New Roman"/>
                <w:b/>
              </w:rPr>
            </w:pPr>
            <w:r w:rsidRPr="003A2279">
              <w:rPr>
                <w:rFonts w:ascii="Times New Roman" w:hAnsi="Times New Roman" w:cs="Times New Roman"/>
                <w:b/>
              </w:rPr>
              <w:t>Dotācijas, investīcijas no pašvaldības budžeta</w:t>
            </w:r>
          </w:p>
        </w:tc>
        <w:tc>
          <w:tcPr>
            <w:tcW w:w="1843" w:type="dxa"/>
            <w:vAlign w:val="center"/>
          </w:tcPr>
          <w:p w:rsidR="00541201" w:rsidRPr="00541201" w:rsidRDefault="00541201" w:rsidP="00541201">
            <w:pPr>
              <w:jc w:val="center"/>
              <w:rPr>
                <w:rFonts w:ascii="Times New Roman" w:hAnsi="Times New Roman" w:cs="Times New Roman"/>
              </w:rPr>
            </w:pPr>
            <w:r>
              <w:rPr>
                <w:rFonts w:ascii="Times New Roman" w:hAnsi="Times New Roman" w:cs="Times New Roman"/>
              </w:rPr>
              <w:t>24</w:t>
            </w:r>
            <w:r w:rsidR="00F95770">
              <w:rPr>
                <w:rFonts w:ascii="Times New Roman" w:hAnsi="Times New Roman" w:cs="Times New Roman"/>
              </w:rPr>
              <w:t xml:space="preserve"> </w:t>
            </w:r>
            <w:r>
              <w:rPr>
                <w:rFonts w:ascii="Times New Roman" w:hAnsi="Times New Roman" w:cs="Times New Roman"/>
              </w:rPr>
              <w:t>982</w:t>
            </w:r>
          </w:p>
        </w:tc>
        <w:tc>
          <w:tcPr>
            <w:tcW w:w="1905" w:type="dxa"/>
            <w:vAlign w:val="center"/>
          </w:tcPr>
          <w:p w:rsidR="00541201" w:rsidRPr="00541201" w:rsidRDefault="00541201" w:rsidP="00541201">
            <w:pPr>
              <w:jc w:val="center"/>
              <w:rPr>
                <w:rFonts w:ascii="Times New Roman" w:hAnsi="Times New Roman" w:cs="Times New Roman"/>
              </w:rPr>
            </w:pPr>
            <w:r>
              <w:rPr>
                <w:rFonts w:ascii="Times New Roman" w:hAnsi="Times New Roman" w:cs="Times New Roman"/>
              </w:rPr>
              <w:t>-</w:t>
            </w:r>
          </w:p>
        </w:tc>
        <w:tc>
          <w:tcPr>
            <w:tcW w:w="2028" w:type="dxa"/>
            <w:vAlign w:val="center"/>
          </w:tcPr>
          <w:p w:rsidR="00541201" w:rsidRPr="00541201" w:rsidRDefault="00541201" w:rsidP="00541201">
            <w:pPr>
              <w:jc w:val="center"/>
              <w:rPr>
                <w:rFonts w:ascii="Times New Roman" w:hAnsi="Times New Roman" w:cs="Times New Roman"/>
              </w:rPr>
            </w:pPr>
            <w:r>
              <w:rPr>
                <w:rFonts w:ascii="Times New Roman" w:hAnsi="Times New Roman" w:cs="Times New Roman"/>
              </w:rPr>
              <w:t>-</w:t>
            </w:r>
          </w:p>
        </w:tc>
      </w:tr>
      <w:tr w:rsidR="00541201" w:rsidRPr="00541201" w:rsidTr="003A2279">
        <w:tc>
          <w:tcPr>
            <w:tcW w:w="959" w:type="dxa"/>
            <w:vAlign w:val="center"/>
          </w:tcPr>
          <w:p w:rsidR="00541201" w:rsidRPr="000F726D" w:rsidRDefault="003A2279" w:rsidP="00541201">
            <w:pPr>
              <w:jc w:val="center"/>
              <w:rPr>
                <w:rFonts w:ascii="Times New Roman" w:hAnsi="Times New Roman" w:cs="Times New Roman"/>
                <w:b/>
              </w:rPr>
            </w:pPr>
            <w:r w:rsidRPr="000F726D">
              <w:rPr>
                <w:rFonts w:ascii="Times New Roman" w:hAnsi="Times New Roman" w:cs="Times New Roman"/>
                <w:b/>
              </w:rPr>
              <w:t>2</w:t>
            </w:r>
            <w:r w:rsidR="00541201" w:rsidRPr="000F726D">
              <w:rPr>
                <w:rFonts w:ascii="Times New Roman" w:hAnsi="Times New Roman" w:cs="Times New Roman"/>
                <w:b/>
              </w:rPr>
              <w:t>.</w:t>
            </w:r>
          </w:p>
        </w:tc>
        <w:tc>
          <w:tcPr>
            <w:tcW w:w="3402" w:type="dxa"/>
            <w:vAlign w:val="center"/>
          </w:tcPr>
          <w:p w:rsidR="00541201" w:rsidRPr="003A2279" w:rsidRDefault="00541201" w:rsidP="003A2279">
            <w:pPr>
              <w:rPr>
                <w:rFonts w:ascii="Times New Roman" w:hAnsi="Times New Roman" w:cs="Times New Roman"/>
                <w:b/>
              </w:rPr>
            </w:pPr>
            <w:r w:rsidRPr="003A2279">
              <w:rPr>
                <w:rFonts w:ascii="Times New Roman" w:hAnsi="Times New Roman" w:cs="Times New Roman"/>
                <w:b/>
              </w:rPr>
              <w:t>Bilance</w:t>
            </w:r>
            <w:r w:rsidR="003A2279">
              <w:rPr>
                <w:rFonts w:ascii="Times New Roman" w:hAnsi="Times New Roman" w:cs="Times New Roman"/>
                <w:b/>
              </w:rPr>
              <w:t>s</w:t>
            </w:r>
            <w:r w:rsidRPr="003A2279">
              <w:rPr>
                <w:rFonts w:ascii="Times New Roman" w:hAnsi="Times New Roman" w:cs="Times New Roman"/>
                <w:b/>
              </w:rPr>
              <w:t xml:space="preserve"> rādītāji (perioda beigās)</w:t>
            </w:r>
          </w:p>
        </w:tc>
        <w:tc>
          <w:tcPr>
            <w:tcW w:w="1843" w:type="dxa"/>
            <w:vAlign w:val="center"/>
          </w:tcPr>
          <w:p w:rsidR="00541201" w:rsidRDefault="00541201" w:rsidP="00541201">
            <w:pPr>
              <w:jc w:val="center"/>
              <w:rPr>
                <w:rFonts w:ascii="Times New Roman" w:hAnsi="Times New Roman" w:cs="Times New Roman"/>
              </w:rPr>
            </w:pPr>
          </w:p>
        </w:tc>
        <w:tc>
          <w:tcPr>
            <w:tcW w:w="1905" w:type="dxa"/>
            <w:vAlign w:val="center"/>
          </w:tcPr>
          <w:p w:rsidR="00541201" w:rsidRDefault="00541201" w:rsidP="00541201">
            <w:pPr>
              <w:jc w:val="center"/>
              <w:rPr>
                <w:rFonts w:ascii="Times New Roman" w:hAnsi="Times New Roman" w:cs="Times New Roman"/>
              </w:rPr>
            </w:pPr>
          </w:p>
        </w:tc>
        <w:tc>
          <w:tcPr>
            <w:tcW w:w="2028" w:type="dxa"/>
            <w:vAlign w:val="center"/>
          </w:tcPr>
          <w:p w:rsidR="00541201" w:rsidRDefault="00541201" w:rsidP="00541201">
            <w:pPr>
              <w:jc w:val="center"/>
              <w:rPr>
                <w:rFonts w:ascii="Times New Roman" w:hAnsi="Times New Roman" w:cs="Times New Roman"/>
              </w:rPr>
            </w:pPr>
          </w:p>
        </w:tc>
      </w:tr>
      <w:tr w:rsidR="003A2279" w:rsidRPr="00541201" w:rsidTr="003A2279">
        <w:tc>
          <w:tcPr>
            <w:tcW w:w="959" w:type="dxa"/>
            <w:vAlign w:val="center"/>
          </w:tcPr>
          <w:p w:rsidR="003A2279" w:rsidRPr="000F726D" w:rsidRDefault="003A2279" w:rsidP="00541201">
            <w:pPr>
              <w:jc w:val="center"/>
              <w:rPr>
                <w:rFonts w:ascii="Times New Roman" w:hAnsi="Times New Roman" w:cs="Times New Roman"/>
                <w:b/>
              </w:rPr>
            </w:pPr>
          </w:p>
        </w:tc>
        <w:tc>
          <w:tcPr>
            <w:tcW w:w="3402" w:type="dxa"/>
            <w:vAlign w:val="center"/>
          </w:tcPr>
          <w:p w:rsidR="003A2279" w:rsidRDefault="003A2279" w:rsidP="003A2279">
            <w:pPr>
              <w:rPr>
                <w:rFonts w:ascii="Times New Roman" w:hAnsi="Times New Roman" w:cs="Times New Roman"/>
              </w:rPr>
            </w:pPr>
            <w:r>
              <w:rPr>
                <w:rFonts w:ascii="Times New Roman" w:hAnsi="Times New Roman" w:cs="Times New Roman"/>
              </w:rPr>
              <w:t>Nemateriālie ieguldījumi</w:t>
            </w:r>
          </w:p>
        </w:tc>
        <w:tc>
          <w:tcPr>
            <w:tcW w:w="1843" w:type="dxa"/>
            <w:vAlign w:val="center"/>
          </w:tcPr>
          <w:p w:rsidR="003A2279" w:rsidRDefault="003A2279" w:rsidP="00541201">
            <w:pPr>
              <w:jc w:val="center"/>
              <w:rPr>
                <w:rFonts w:ascii="Times New Roman" w:hAnsi="Times New Roman" w:cs="Times New Roman"/>
              </w:rPr>
            </w:pPr>
            <w:r>
              <w:rPr>
                <w:rFonts w:ascii="Times New Roman" w:hAnsi="Times New Roman" w:cs="Times New Roman"/>
              </w:rPr>
              <w:t>52</w:t>
            </w:r>
            <w:r w:rsidR="00F95770">
              <w:rPr>
                <w:rFonts w:ascii="Times New Roman" w:hAnsi="Times New Roman" w:cs="Times New Roman"/>
              </w:rPr>
              <w:t xml:space="preserve"> </w:t>
            </w:r>
            <w:r>
              <w:rPr>
                <w:rFonts w:ascii="Times New Roman" w:hAnsi="Times New Roman" w:cs="Times New Roman"/>
              </w:rPr>
              <w:t>620</w:t>
            </w:r>
          </w:p>
        </w:tc>
        <w:tc>
          <w:tcPr>
            <w:tcW w:w="1905" w:type="dxa"/>
            <w:vAlign w:val="center"/>
          </w:tcPr>
          <w:p w:rsidR="003A2279" w:rsidRDefault="003A2279" w:rsidP="00541201">
            <w:pPr>
              <w:jc w:val="center"/>
              <w:rPr>
                <w:rFonts w:ascii="Times New Roman" w:hAnsi="Times New Roman" w:cs="Times New Roman"/>
              </w:rPr>
            </w:pPr>
            <w:r>
              <w:rPr>
                <w:rFonts w:ascii="Times New Roman" w:hAnsi="Times New Roman" w:cs="Times New Roman"/>
              </w:rPr>
              <w:t>40</w:t>
            </w:r>
            <w:r w:rsidR="00F95770">
              <w:rPr>
                <w:rFonts w:ascii="Times New Roman" w:hAnsi="Times New Roman" w:cs="Times New Roman"/>
              </w:rPr>
              <w:t xml:space="preserve"> </w:t>
            </w:r>
            <w:r>
              <w:rPr>
                <w:rFonts w:ascii="Times New Roman" w:hAnsi="Times New Roman" w:cs="Times New Roman"/>
              </w:rPr>
              <w:t>909</w:t>
            </w:r>
          </w:p>
        </w:tc>
        <w:tc>
          <w:tcPr>
            <w:tcW w:w="2028" w:type="dxa"/>
            <w:vAlign w:val="center"/>
          </w:tcPr>
          <w:p w:rsidR="005C69AB" w:rsidRDefault="005C69AB" w:rsidP="005C69AB">
            <w:pPr>
              <w:jc w:val="center"/>
              <w:rPr>
                <w:rFonts w:ascii="Times New Roman" w:hAnsi="Times New Roman" w:cs="Times New Roman"/>
              </w:rPr>
            </w:pPr>
            <w:r>
              <w:rPr>
                <w:rFonts w:ascii="Times New Roman" w:hAnsi="Times New Roman" w:cs="Times New Roman"/>
              </w:rPr>
              <w:t>18</w:t>
            </w:r>
            <w:r w:rsidR="00F95770">
              <w:rPr>
                <w:rFonts w:ascii="Times New Roman" w:hAnsi="Times New Roman" w:cs="Times New Roman"/>
              </w:rPr>
              <w:t xml:space="preserve"> </w:t>
            </w:r>
            <w:r>
              <w:rPr>
                <w:rFonts w:ascii="Times New Roman" w:hAnsi="Times New Roman" w:cs="Times New Roman"/>
              </w:rPr>
              <w:t>161</w:t>
            </w:r>
          </w:p>
        </w:tc>
      </w:tr>
      <w:tr w:rsidR="003A2279" w:rsidRPr="00541201" w:rsidTr="003A2279">
        <w:tc>
          <w:tcPr>
            <w:tcW w:w="959" w:type="dxa"/>
            <w:vAlign w:val="center"/>
          </w:tcPr>
          <w:p w:rsidR="003A2279" w:rsidRDefault="003A2279" w:rsidP="00541201">
            <w:pPr>
              <w:jc w:val="center"/>
              <w:rPr>
                <w:rFonts w:ascii="Times New Roman" w:hAnsi="Times New Roman" w:cs="Times New Roman"/>
              </w:rPr>
            </w:pPr>
          </w:p>
        </w:tc>
        <w:tc>
          <w:tcPr>
            <w:tcW w:w="3402" w:type="dxa"/>
            <w:vAlign w:val="center"/>
          </w:tcPr>
          <w:p w:rsidR="003A2279" w:rsidRDefault="003A2279" w:rsidP="003A2279">
            <w:pPr>
              <w:rPr>
                <w:rFonts w:ascii="Times New Roman" w:hAnsi="Times New Roman" w:cs="Times New Roman"/>
              </w:rPr>
            </w:pPr>
            <w:r>
              <w:rPr>
                <w:rFonts w:ascii="Times New Roman" w:hAnsi="Times New Roman" w:cs="Times New Roman"/>
              </w:rPr>
              <w:t>Pamatlīdzekļi</w:t>
            </w:r>
          </w:p>
        </w:tc>
        <w:tc>
          <w:tcPr>
            <w:tcW w:w="1843" w:type="dxa"/>
            <w:vAlign w:val="center"/>
          </w:tcPr>
          <w:p w:rsidR="003A2279" w:rsidRDefault="003A2279" w:rsidP="00541201">
            <w:pPr>
              <w:jc w:val="center"/>
              <w:rPr>
                <w:rFonts w:ascii="Times New Roman" w:hAnsi="Times New Roman" w:cs="Times New Roman"/>
              </w:rPr>
            </w:pPr>
            <w:r>
              <w:rPr>
                <w:rFonts w:ascii="Times New Roman" w:hAnsi="Times New Roman" w:cs="Times New Roman"/>
              </w:rPr>
              <w:t>1795</w:t>
            </w:r>
            <w:r w:rsidR="00F95770">
              <w:rPr>
                <w:rFonts w:ascii="Times New Roman" w:hAnsi="Times New Roman" w:cs="Times New Roman"/>
              </w:rPr>
              <w:t xml:space="preserve"> </w:t>
            </w:r>
            <w:r>
              <w:rPr>
                <w:rFonts w:ascii="Times New Roman" w:hAnsi="Times New Roman" w:cs="Times New Roman"/>
              </w:rPr>
              <w:t>664</w:t>
            </w:r>
          </w:p>
        </w:tc>
        <w:tc>
          <w:tcPr>
            <w:tcW w:w="1905" w:type="dxa"/>
            <w:vAlign w:val="center"/>
          </w:tcPr>
          <w:p w:rsidR="003A2279" w:rsidRDefault="003A2279" w:rsidP="00541201">
            <w:pPr>
              <w:jc w:val="center"/>
              <w:rPr>
                <w:rFonts w:ascii="Times New Roman" w:hAnsi="Times New Roman" w:cs="Times New Roman"/>
              </w:rPr>
            </w:pPr>
            <w:r>
              <w:rPr>
                <w:rFonts w:ascii="Times New Roman" w:hAnsi="Times New Roman" w:cs="Times New Roman"/>
              </w:rPr>
              <w:t>6</w:t>
            </w:r>
            <w:r w:rsidR="00F95770">
              <w:rPr>
                <w:rFonts w:ascii="Times New Roman" w:hAnsi="Times New Roman" w:cs="Times New Roman"/>
              </w:rPr>
              <w:t> </w:t>
            </w:r>
            <w:r>
              <w:rPr>
                <w:rFonts w:ascii="Times New Roman" w:hAnsi="Times New Roman" w:cs="Times New Roman"/>
              </w:rPr>
              <w:t>602</w:t>
            </w:r>
            <w:r w:rsidR="00F95770">
              <w:rPr>
                <w:rFonts w:ascii="Times New Roman" w:hAnsi="Times New Roman" w:cs="Times New Roman"/>
              </w:rPr>
              <w:t xml:space="preserve"> </w:t>
            </w:r>
            <w:r>
              <w:rPr>
                <w:rFonts w:ascii="Times New Roman" w:hAnsi="Times New Roman" w:cs="Times New Roman"/>
              </w:rPr>
              <w:t>064</w:t>
            </w:r>
          </w:p>
        </w:tc>
        <w:tc>
          <w:tcPr>
            <w:tcW w:w="2028" w:type="dxa"/>
            <w:vAlign w:val="center"/>
          </w:tcPr>
          <w:p w:rsidR="003A2279" w:rsidRDefault="005C69AB" w:rsidP="00541201">
            <w:pPr>
              <w:jc w:val="center"/>
              <w:rPr>
                <w:rFonts w:ascii="Times New Roman" w:hAnsi="Times New Roman" w:cs="Times New Roman"/>
              </w:rPr>
            </w:pPr>
            <w:r>
              <w:rPr>
                <w:rFonts w:ascii="Times New Roman" w:hAnsi="Times New Roman" w:cs="Times New Roman"/>
              </w:rPr>
              <w:t>6</w:t>
            </w:r>
            <w:r w:rsidR="00F95770">
              <w:rPr>
                <w:rFonts w:ascii="Times New Roman" w:hAnsi="Times New Roman" w:cs="Times New Roman"/>
              </w:rPr>
              <w:t> </w:t>
            </w:r>
            <w:r>
              <w:rPr>
                <w:rFonts w:ascii="Times New Roman" w:hAnsi="Times New Roman" w:cs="Times New Roman"/>
              </w:rPr>
              <w:t>419</w:t>
            </w:r>
            <w:r w:rsidR="00F95770">
              <w:rPr>
                <w:rFonts w:ascii="Times New Roman" w:hAnsi="Times New Roman" w:cs="Times New Roman"/>
              </w:rPr>
              <w:t xml:space="preserve"> </w:t>
            </w:r>
            <w:r>
              <w:rPr>
                <w:rFonts w:ascii="Times New Roman" w:hAnsi="Times New Roman" w:cs="Times New Roman"/>
              </w:rPr>
              <w:t>040</w:t>
            </w:r>
          </w:p>
        </w:tc>
      </w:tr>
      <w:tr w:rsidR="00C91822" w:rsidRPr="00541201" w:rsidTr="00F95770">
        <w:tc>
          <w:tcPr>
            <w:tcW w:w="959" w:type="dxa"/>
            <w:vAlign w:val="center"/>
          </w:tcPr>
          <w:p w:rsidR="00C91822" w:rsidRDefault="00C91822" w:rsidP="00541201">
            <w:pPr>
              <w:jc w:val="center"/>
              <w:rPr>
                <w:rFonts w:ascii="Times New Roman" w:hAnsi="Times New Roman" w:cs="Times New Roman"/>
              </w:rPr>
            </w:pPr>
          </w:p>
        </w:tc>
        <w:tc>
          <w:tcPr>
            <w:tcW w:w="3402" w:type="dxa"/>
            <w:vAlign w:val="center"/>
          </w:tcPr>
          <w:p w:rsidR="00C91822" w:rsidRDefault="00C91822" w:rsidP="003A2279">
            <w:pPr>
              <w:rPr>
                <w:rFonts w:ascii="Times New Roman" w:hAnsi="Times New Roman" w:cs="Times New Roman"/>
              </w:rPr>
            </w:pPr>
            <w:r>
              <w:rPr>
                <w:rFonts w:ascii="Times New Roman" w:hAnsi="Times New Roman" w:cs="Times New Roman"/>
              </w:rPr>
              <w:t>Apgrozāmie līdzekļi</w:t>
            </w:r>
          </w:p>
        </w:tc>
        <w:tc>
          <w:tcPr>
            <w:tcW w:w="1843" w:type="dxa"/>
            <w:vAlign w:val="center"/>
          </w:tcPr>
          <w:p w:rsidR="00C91822" w:rsidRDefault="00C91822" w:rsidP="00F95770">
            <w:pPr>
              <w:jc w:val="center"/>
              <w:rPr>
                <w:rFonts w:ascii="Times New Roman" w:hAnsi="Times New Roman" w:cs="Times New Roman"/>
              </w:rPr>
            </w:pPr>
            <w:r>
              <w:rPr>
                <w:rFonts w:ascii="Times New Roman" w:hAnsi="Times New Roman" w:cs="Times New Roman"/>
              </w:rPr>
              <w:t>1 667 510</w:t>
            </w:r>
          </w:p>
        </w:tc>
        <w:tc>
          <w:tcPr>
            <w:tcW w:w="1905" w:type="dxa"/>
            <w:vAlign w:val="center"/>
          </w:tcPr>
          <w:p w:rsidR="00C91822" w:rsidRDefault="00C91822" w:rsidP="00F95770">
            <w:pPr>
              <w:jc w:val="center"/>
              <w:rPr>
                <w:rFonts w:ascii="Times New Roman" w:hAnsi="Times New Roman" w:cs="Times New Roman"/>
              </w:rPr>
            </w:pPr>
            <w:r>
              <w:rPr>
                <w:rFonts w:ascii="Times New Roman" w:hAnsi="Times New Roman" w:cs="Times New Roman"/>
              </w:rPr>
              <w:t>2 154 405</w:t>
            </w:r>
          </w:p>
        </w:tc>
        <w:tc>
          <w:tcPr>
            <w:tcW w:w="2028" w:type="dxa"/>
            <w:vAlign w:val="center"/>
          </w:tcPr>
          <w:p w:rsidR="00C91822" w:rsidRDefault="00C91822" w:rsidP="00F95770">
            <w:pPr>
              <w:jc w:val="center"/>
              <w:rPr>
                <w:rFonts w:ascii="Times New Roman" w:hAnsi="Times New Roman" w:cs="Times New Roman"/>
              </w:rPr>
            </w:pPr>
            <w:r>
              <w:rPr>
                <w:rFonts w:ascii="Times New Roman" w:hAnsi="Times New Roman" w:cs="Times New Roman"/>
              </w:rPr>
              <w:t>1 505 513</w:t>
            </w:r>
          </w:p>
        </w:tc>
      </w:tr>
      <w:tr w:rsidR="003A2279" w:rsidRPr="00541201" w:rsidTr="00F95770">
        <w:tc>
          <w:tcPr>
            <w:tcW w:w="959" w:type="dxa"/>
            <w:vAlign w:val="center"/>
          </w:tcPr>
          <w:p w:rsidR="003A2279" w:rsidRDefault="003A2279" w:rsidP="00541201">
            <w:pPr>
              <w:jc w:val="center"/>
              <w:rPr>
                <w:rFonts w:ascii="Times New Roman" w:hAnsi="Times New Roman" w:cs="Times New Roman"/>
              </w:rPr>
            </w:pPr>
          </w:p>
        </w:tc>
        <w:tc>
          <w:tcPr>
            <w:tcW w:w="3402" w:type="dxa"/>
            <w:vAlign w:val="center"/>
          </w:tcPr>
          <w:p w:rsidR="003A2279" w:rsidRDefault="003A2279" w:rsidP="003A2279">
            <w:pPr>
              <w:rPr>
                <w:rFonts w:ascii="Times New Roman" w:hAnsi="Times New Roman" w:cs="Times New Roman"/>
              </w:rPr>
            </w:pPr>
            <w:r>
              <w:rPr>
                <w:rFonts w:ascii="Times New Roman" w:hAnsi="Times New Roman" w:cs="Times New Roman"/>
              </w:rPr>
              <w:t>Aktīvi kopā</w:t>
            </w:r>
          </w:p>
        </w:tc>
        <w:tc>
          <w:tcPr>
            <w:tcW w:w="1843" w:type="dxa"/>
            <w:vAlign w:val="center"/>
          </w:tcPr>
          <w:p w:rsidR="003A2279" w:rsidRDefault="003A2279" w:rsidP="00F95770">
            <w:pPr>
              <w:jc w:val="center"/>
              <w:rPr>
                <w:rFonts w:ascii="Times New Roman" w:hAnsi="Times New Roman" w:cs="Times New Roman"/>
              </w:rPr>
            </w:pPr>
            <w:r>
              <w:rPr>
                <w:rFonts w:ascii="Times New Roman" w:hAnsi="Times New Roman" w:cs="Times New Roman"/>
              </w:rPr>
              <w:t>9</w:t>
            </w:r>
            <w:r w:rsidR="00F95770">
              <w:rPr>
                <w:rFonts w:ascii="Times New Roman" w:hAnsi="Times New Roman" w:cs="Times New Roman"/>
              </w:rPr>
              <w:t> </w:t>
            </w:r>
            <w:r>
              <w:rPr>
                <w:rFonts w:ascii="Times New Roman" w:hAnsi="Times New Roman" w:cs="Times New Roman"/>
              </w:rPr>
              <w:t>060</w:t>
            </w:r>
            <w:r w:rsidR="00F95770">
              <w:rPr>
                <w:rFonts w:ascii="Times New Roman" w:hAnsi="Times New Roman" w:cs="Times New Roman"/>
              </w:rPr>
              <w:t xml:space="preserve"> </w:t>
            </w:r>
            <w:r>
              <w:rPr>
                <w:rFonts w:ascii="Times New Roman" w:hAnsi="Times New Roman" w:cs="Times New Roman"/>
              </w:rPr>
              <w:t>109</w:t>
            </w:r>
          </w:p>
        </w:tc>
        <w:tc>
          <w:tcPr>
            <w:tcW w:w="1905" w:type="dxa"/>
            <w:vAlign w:val="center"/>
          </w:tcPr>
          <w:p w:rsidR="003A2279" w:rsidRDefault="003A2279" w:rsidP="00F95770">
            <w:pPr>
              <w:jc w:val="center"/>
              <w:rPr>
                <w:rFonts w:ascii="Times New Roman" w:hAnsi="Times New Roman" w:cs="Times New Roman"/>
              </w:rPr>
            </w:pPr>
            <w:r>
              <w:rPr>
                <w:rFonts w:ascii="Times New Roman" w:hAnsi="Times New Roman" w:cs="Times New Roman"/>
              </w:rPr>
              <w:t>13</w:t>
            </w:r>
            <w:r w:rsidR="00F95770">
              <w:rPr>
                <w:rFonts w:ascii="Times New Roman" w:hAnsi="Times New Roman" w:cs="Times New Roman"/>
              </w:rPr>
              <w:t> </w:t>
            </w:r>
            <w:r>
              <w:rPr>
                <w:rFonts w:ascii="Times New Roman" w:hAnsi="Times New Roman" w:cs="Times New Roman"/>
              </w:rPr>
              <w:t>791</w:t>
            </w:r>
            <w:r w:rsidR="00F95770">
              <w:rPr>
                <w:rFonts w:ascii="Times New Roman" w:hAnsi="Times New Roman" w:cs="Times New Roman"/>
              </w:rPr>
              <w:t xml:space="preserve"> </w:t>
            </w:r>
            <w:r>
              <w:rPr>
                <w:rFonts w:ascii="Times New Roman" w:hAnsi="Times New Roman" w:cs="Times New Roman"/>
              </w:rPr>
              <w:t>750</w:t>
            </w:r>
          </w:p>
        </w:tc>
        <w:tc>
          <w:tcPr>
            <w:tcW w:w="2028" w:type="dxa"/>
            <w:vAlign w:val="center"/>
          </w:tcPr>
          <w:p w:rsidR="009B18AC" w:rsidRDefault="009B18AC" w:rsidP="00F95770">
            <w:pPr>
              <w:jc w:val="center"/>
              <w:rPr>
                <w:rFonts w:ascii="Times New Roman" w:hAnsi="Times New Roman" w:cs="Times New Roman"/>
              </w:rPr>
            </w:pPr>
            <w:r>
              <w:rPr>
                <w:rFonts w:ascii="Times New Roman" w:hAnsi="Times New Roman" w:cs="Times New Roman"/>
              </w:rPr>
              <w:t>14</w:t>
            </w:r>
            <w:r w:rsidR="00F95770">
              <w:rPr>
                <w:rFonts w:ascii="Times New Roman" w:hAnsi="Times New Roman" w:cs="Times New Roman"/>
              </w:rPr>
              <w:t> </w:t>
            </w:r>
            <w:r>
              <w:rPr>
                <w:rFonts w:ascii="Times New Roman" w:hAnsi="Times New Roman" w:cs="Times New Roman"/>
              </w:rPr>
              <w:t>250</w:t>
            </w:r>
            <w:r w:rsidR="00F95770">
              <w:rPr>
                <w:rFonts w:ascii="Times New Roman" w:hAnsi="Times New Roman" w:cs="Times New Roman"/>
              </w:rPr>
              <w:t xml:space="preserve"> </w:t>
            </w:r>
            <w:r>
              <w:rPr>
                <w:rFonts w:ascii="Times New Roman" w:hAnsi="Times New Roman" w:cs="Times New Roman"/>
              </w:rPr>
              <w:t>570</w:t>
            </w:r>
          </w:p>
        </w:tc>
      </w:tr>
      <w:tr w:rsidR="003A2279" w:rsidRPr="00541201" w:rsidTr="003A2279">
        <w:tc>
          <w:tcPr>
            <w:tcW w:w="959" w:type="dxa"/>
            <w:vAlign w:val="center"/>
          </w:tcPr>
          <w:p w:rsidR="003A2279" w:rsidRDefault="003A2279" w:rsidP="00541201">
            <w:pPr>
              <w:jc w:val="center"/>
              <w:rPr>
                <w:rFonts w:ascii="Times New Roman" w:hAnsi="Times New Roman" w:cs="Times New Roman"/>
              </w:rPr>
            </w:pPr>
          </w:p>
        </w:tc>
        <w:tc>
          <w:tcPr>
            <w:tcW w:w="3402" w:type="dxa"/>
            <w:vAlign w:val="center"/>
          </w:tcPr>
          <w:p w:rsidR="003A2279" w:rsidRDefault="003A2279" w:rsidP="003A2279">
            <w:pPr>
              <w:rPr>
                <w:rFonts w:ascii="Times New Roman" w:hAnsi="Times New Roman" w:cs="Times New Roman"/>
              </w:rPr>
            </w:pPr>
            <w:r>
              <w:rPr>
                <w:rFonts w:ascii="Times New Roman" w:hAnsi="Times New Roman" w:cs="Times New Roman"/>
              </w:rPr>
              <w:t>Pašu kapitāls</w:t>
            </w:r>
          </w:p>
        </w:tc>
        <w:tc>
          <w:tcPr>
            <w:tcW w:w="1843" w:type="dxa"/>
            <w:vAlign w:val="center"/>
          </w:tcPr>
          <w:p w:rsidR="003A2279" w:rsidRDefault="003A2279" w:rsidP="00541201">
            <w:pPr>
              <w:jc w:val="center"/>
              <w:rPr>
                <w:rFonts w:ascii="Times New Roman" w:hAnsi="Times New Roman" w:cs="Times New Roman"/>
              </w:rPr>
            </w:pPr>
            <w:r>
              <w:rPr>
                <w:rFonts w:ascii="Times New Roman" w:hAnsi="Times New Roman" w:cs="Times New Roman"/>
              </w:rPr>
              <w:t>1</w:t>
            </w:r>
            <w:r w:rsidR="00F95770">
              <w:rPr>
                <w:rFonts w:ascii="Times New Roman" w:hAnsi="Times New Roman" w:cs="Times New Roman"/>
              </w:rPr>
              <w:t> </w:t>
            </w:r>
            <w:r>
              <w:rPr>
                <w:rFonts w:ascii="Times New Roman" w:hAnsi="Times New Roman" w:cs="Times New Roman"/>
              </w:rPr>
              <w:t>115</w:t>
            </w:r>
            <w:r w:rsidR="00F95770">
              <w:rPr>
                <w:rFonts w:ascii="Times New Roman" w:hAnsi="Times New Roman" w:cs="Times New Roman"/>
              </w:rPr>
              <w:t xml:space="preserve"> </w:t>
            </w:r>
            <w:r>
              <w:rPr>
                <w:rFonts w:ascii="Times New Roman" w:hAnsi="Times New Roman" w:cs="Times New Roman"/>
              </w:rPr>
              <w:t>742</w:t>
            </w:r>
          </w:p>
        </w:tc>
        <w:tc>
          <w:tcPr>
            <w:tcW w:w="1905" w:type="dxa"/>
            <w:vAlign w:val="center"/>
          </w:tcPr>
          <w:p w:rsidR="003A2279" w:rsidRDefault="003A2279" w:rsidP="00541201">
            <w:pPr>
              <w:jc w:val="center"/>
              <w:rPr>
                <w:rFonts w:ascii="Times New Roman" w:hAnsi="Times New Roman" w:cs="Times New Roman"/>
              </w:rPr>
            </w:pPr>
            <w:r>
              <w:rPr>
                <w:rFonts w:ascii="Times New Roman" w:hAnsi="Times New Roman" w:cs="Times New Roman"/>
              </w:rPr>
              <w:t>1</w:t>
            </w:r>
            <w:r w:rsidR="00F95770">
              <w:rPr>
                <w:rFonts w:ascii="Times New Roman" w:hAnsi="Times New Roman" w:cs="Times New Roman"/>
              </w:rPr>
              <w:t> </w:t>
            </w:r>
            <w:r>
              <w:rPr>
                <w:rFonts w:ascii="Times New Roman" w:hAnsi="Times New Roman" w:cs="Times New Roman"/>
              </w:rPr>
              <w:t>319</w:t>
            </w:r>
            <w:r w:rsidR="00F95770">
              <w:rPr>
                <w:rFonts w:ascii="Times New Roman" w:hAnsi="Times New Roman" w:cs="Times New Roman"/>
              </w:rPr>
              <w:t xml:space="preserve"> </w:t>
            </w:r>
            <w:r>
              <w:rPr>
                <w:rFonts w:ascii="Times New Roman" w:hAnsi="Times New Roman" w:cs="Times New Roman"/>
              </w:rPr>
              <w:t>129</w:t>
            </w:r>
          </w:p>
        </w:tc>
        <w:tc>
          <w:tcPr>
            <w:tcW w:w="2028" w:type="dxa"/>
            <w:vAlign w:val="center"/>
          </w:tcPr>
          <w:p w:rsidR="003A2279" w:rsidRDefault="0088454D" w:rsidP="00541201">
            <w:pPr>
              <w:jc w:val="center"/>
              <w:rPr>
                <w:rFonts w:ascii="Times New Roman" w:hAnsi="Times New Roman" w:cs="Times New Roman"/>
              </w:rPr>
            </w:pPr>
            <w:r>
              <w:rPr>
                <w:rFonts w:ascii="Times New Roman" w:hAnsi="Times New Roman" w:cs="Times New Roman"/>
              </w:rPr>
              <w:t>1</w:t>
            </w:r>
            <w:r w:rsidR="00F95770">
              <w:rPr>
                <w:rFonts w:ascii="Times New Roman" w:hAnsi="Times New Roman" w:cs="Times New Roman"/>
              </w:rPr>
              <w:t> </w:t>
            </w:r>
            <w:r>
              <w:rPr>
                <w:rFonts w:ascii="Times New Roman" w:hAnsi="Times New Roman" w:cs="Times New Roman"/>
              </w:rPr>
              <w:t>117</w:t>
            </w:r>
            <w:r w:rsidR="00F95770">
              <w:rPr>
                <w:rFonts w:ascii="Times New Roman" w:hAnsi="Times New Roman" w:cs="Times New Roman"/>
              </w:rPr>
              <w:t xml:space="preserve"> </w:t>
            </w:r>
            <w:r>
              <w:rPr>
                <w:rFonts w:ascii="Times New Roman" w:hAnsi="Times New Roman" w:cs="Times New Roman"/>
              </w:rPr>
              <w:t>929</w:t>
            </w:r>
          </w:p>
        </w:tc>
      </w:tr>
      <w:tr w:rsidR="003A2279" w:rsidRPr="00541201" w:rsidTr="003A2279">
        <w:tc>
          <w:tcPr>
            <w:tcW w:w="959" w:type="dxa"/>
            <w:vAlign w:val="center"/>
          </w:tcPr>
          <w:p w:rsidR="003A2279" w:rsidRDefault="003A2279" w:rsidP="00541201">
            <w:pPr>
              <w:jc w:val="center"/>
              <w:rPr>
                <w:rFonts w:ascii="Times New Roman" w:hAnsi="Times New Roman" w:cs="Times New Roman"/>
              </w:rPr>
            </w:pPr>
          </w:p>
        </w:tc>
        <w:tc>
          <w:tcPr>
            <w:tcW w:w="3402" w:type="dxa"/>
            <w:vAlign w:val="center"/>
          </w:tcPr>
          <w:p w:rsidR="003A2279" w:rsidRDefault="003A2279" w:rsidP="003A2279">
            <w:pPr>
              <w:rPr>
                <w:rFonts w:ascii="Times New Roman" w:hAnsi="Times New Roman" w:cs="Times New Roman"/>
              </w:rPr>
            </w:pPr>
            <w:r>
              <w:rPr>
                <w:rFonts w:ascii="Times New Roman" w:hAnsi="Times New Roman" w:cs="Times New Roman"/>
              </w:rPr>
              <w:t>t.sk. pamatkapitāls</w:t>
            </w:r>
          </w:p>
        </w:tc>
        <w:tc>
          <w:tcPr>
            <w:tcW w:w="1843" w:type="dxa"/>
            <w:vAlign w:val="center"/>
          </w:tcPr>
          <w:p w:rsidR="003A2279" w:rsidRDefault="003A2279" w:rsidP="00541201">
            <w:pPr>
              <w:jc w:val="center"/>
              <w:rPr>
                <w:rFonts w:ascii="Times New Roman" w:hAnsi="Times New Roman" w:cs="Times New Roman"/>
              </w:rPr>
            </w:pPr>
            <w:r>
              <w:rPr>
                <w:rFonts w:ascii="Times New Roman" w:hAnsi="Times New Roman" w:cs="Times New Roman"/>
              </w:rPr>
              <w:t>910</w:t>
            </w:r>
            <w:r w:rsidR="00F95770">
              <w:rPr>
                <w:rFonts w:ascii="Times New Roman" w:hAnsi="Times New Roman" w:cs="Times New Roman"/>
              </w:rPr>
              <w:t xml:space="preserve"> </w:t>
            </w:r>
            <w:r>
              <w:rPr>
                <w:rFonts w:ascii="Times New Roman" w:hAnsi="Times New Roman" w:cs="Times New Roman"/>
              </w:rPr>
              <w:t>988</w:t>
            </w:r>
          </w:p>
        </w:tc>
        <w:tc>
          <w:tcPr>
            <w:tcW w:w="1905" w:type="dxa"/>
            <w:vAlign w:val="center"/>
          </w:tcPr>
          <w:p w:rsidR="003A2279" w:rsidRDefault="003A2279" w:rsidP="00541201">
            <w:pPr>
              <w:jc w:val="center"/>
              <w:rPr>
                <w:rFonts w:ascii="Times New Roman" w:hAnsi="Times New Roman" w:cs="Times New Roman"/>
              </w:rPr>
            </w:pPr>
            <w:r>
              <w:rPr>
                <w:rFonts w:ascii="Times New Roman" w:hAnsi="Times New Roman" w:cs="Times New Roman"/>
              </w:rPr>
              <w:t>910</w:t>
            </w:r>
            <w:r w:rsidR="00F95770">
              <w:rPr>
                <w:rFonts w:ascii="Times New Roman" w:hAnsi="Times New Roman" w:cs="Times New Roman"/>
              </w:rPr>
              <w:t xml:space="preserve"> </w:t>
            </w:r>
            <w:r>
              <w:rPr>
                <w:rFonts w:ascii="Times New Roman" w:hAnsi="Times New Roman" w:cs="Times New Roman"/>
              </w:rPr>
              <w:t>988</w:t>
            </w:r>
          </w:p>
        </w:tc>
        <w:tc>
          <w:tcPr>
            <w:tcW w:w="2028" w:type="dxa"/>
            <w:vAlign w:val="center"/>
          </w:tcPr>
          <w:p w:rsidR="003A2279" w:rsidRDefault="009B18AC" w:rsidP="00541201">
            <w:pPr>
              <w:jc w:val="center"/>
              <w:rPr>
                <w:rFonts w:ascii="Times New Roman" w:hAnsi="Times New Roman" w:cs="Times New Roman"/>
              </w:rPr>
            </w:pPr>
            <w:r>
              <w:rPr>
                <w:rFonts w:ascii="Times New Roman" w:hAnsi="Times New Roman" w:cs="Times New Roman"/>
              </w:rPr>
              <w:t>910</w:t>
            </w:r>
            <w:r w:rsidR="00F95770">
              <w:rPr>
                <w:rFonts w:ascii="Times New Roman" w:hAnsi="Times New Roman" w:cs="Times New Roman"/>
              </w:rPr>
              <w:t xml:space="preserve"> </w:t>
            </w:r>
            <w:r>
              <w:rPr>
                <w:rFonts w:ascii="Times New Roman" w:hAnsi="Times New Roman" w:cs="Times New Roman"/>
              </w:rPr>
              <w:t>988</w:t>
            </w:r>
          </w:p>
        </w:tc>
      </w:tr>
      <w:tr w:rsidR="00C91822" w:rsidRPr="00541201" w:rsidTr="003A2279">
        <w:tc>
          <w:tcPr>
            <w:tcW w:w="959" w:type="dxa"/>
            <w:vAlign w:val="center"/>
          </w:tcPr>
          <w:p w:rsidR="00C91822" w:rsidRDefault="00C91822" w:rsidP="00541201">
            <w:pPr>
              <w:jc w:val="center"/>
              <w:rPr>
                <w:rFonts w:ascii="Times New Roman" w:hAnsi="Times New Roman" w:cs="Times New Roman"/>
              </w:rPr>
            </w:pPr>
          </w:p>
        </w:tc>
        <w:tc>
          <w:tcPr>
            <w:tcW w:w="3402" w:type="dxa"/>
            <w:vAlign w:val="center"/>
          </w:tcPr>
          <w:p w:rsidR="00C91822" w:rsidRDefault="00C91822" w:rsidP="003A2279">
            <w:pPr>
              <w:rPr>
                <w:rFonts w:ascii="Times New Roman" w:hAnsi="Times New Roman" w:cs="Times New Roman"/>
              </w:rPr>
            </w:pPr>
            <w:r>
              <w:rPr>
                <w:rFonts w:ascii="Times New Roman" w:hAnsi="Times New Roman" w:cs="Times New Roman"/>
              </w:rPr>
              <w:t>Saistības</w:t>
            </w:r>
          </w:p>
        </w:tc>
        <w:tc>
          <w:tcPr>
            <w:tcW w:w="1843" w:type="dxa"/>
            <w:vAlign w:val="center"/>
          </w:tcPr>
          <w:p w:rsidR="00C91822" w:rsidRDefault="00C91822" w:rsidP="00541201">
            <w:pPr>
              <w:jc w:val="center"/>
              <w:rPr>
                <w:rFonts w:ascii="Times New Roman" w:hAnsi="Times New Roman" w:cs="Times New Roman"/>
              </w:rPr>
            </w:pPr>
            <w:r>
              <w:rPr>
                <w:rFonts w:ascii="Times New Roman" w:hAnsi="Times New Roman" w:cs="Times New Roman"/>
              </w:rPr>
              <w:t>7 944 367</w:t>
            </w:r>
          </w:p>
        </w:tc>
        <w:tc>
          <w:tcPr>
            <w:tcW w:w="1905" w:type="dxa"/>
            <w:vAlign w:val="center"/>
          </w:tcPr>
          <w:p w:rsidR="00C91822" w:rsidRDefault="00C91822" w:rsidP="00541201">
            <w:pPr>
              <w:jc w:val="center"/>
              <w:rPr>
                <w:rFonts w:ascii="Times New Roman" w:hAnsi="Times New Roman" w:cs="Times New Roman"/>
              </w:rPr>
            </w:pPr>
            <w:r>
              <w:rPr>
                <w:rFonts w:ascii="Times New Roman" w:hAnsi="Times New Roman" w:cs="Times New Roman"/>
              </w:rPr>
              <w:t>12 472 621</w:t>
            </w:r>
          </w:p>
        </w:tc>
        <w:tc>
          <w:tcPr>
            <w:tcW w:w="2028" w:type="dxa"/>
            <w:vAlign w:val="center"/>
          </w:tcPr>
          <w:p w:rsidR="00C91822" w:rsidRDefault="00C91822" w:rsidP="00541201">
            <w:pPr>
              <w:jc w:val="center"/>
              <w:rPr>
                <w:rFonts w:ascii="Times New Roman" w:hAnsi="Times New Roman" w:cs="Times New Roman"/>
              </w:rPr>
            </w:pPr>
            <w:r>
              <w:rPr>
                <w:rFonts w:ascii="Times New Roman" w:hAnsi="Times New Roman" w:cs="Times New Roman"/>
              </w:rPr>
              <w:t>13 079 610</w:t>
            </w:r>
          </w:p>
        </w:tc>
      </w:tr>
      <w:tr w:rsidR="000F726D" w:rsidRPr="000F726D" w:rsidTr="003A2279">
        <w:tc>
          <w:tcPr>
            <w:tcW w:w="959" w:type="dxa"/>
            <w:vAlign w:val="center"/>
          </w:tcPr>
          <w:p w:rsidR="000F726D" w:rsidRPr="000F726D" w:rsidRDefault="000F726D" w:rsidP="00541201">
            <w:pPr>
              <w:jc w:val="center"/>
              <w:rPr>
                <w:rFonts w:ascii="Times New Roman" w:hAnsi="Times New Roman" w:cs="Times New Roman"/>
                <w:b/>
              </w:rPr>
            </w:pPr>
            <w:r w:rsidRPr="000F726D">
              <w:rPr>
                <w:rFonts w:ascii="Times New Roman" w:hAnsi="Times New Roman" w:cs="Times New Roman"/>
                <w:b/>
              </w:rPr>
              <w:t>3.</w:t>
            </w:r>
          </w:p>
        </w:tc>
        <w:tc>
          <w:tcPr>
            <w:tcW w:w="3402" w:type="dxa"/>
            <w:vAlign w:val="center"/>
          </w:tcPr>
          <w:p w:rsidR="000F726D" w:rsidRPr="000F726D" w:rsidRDefault="000F726D" w:rsidP="000F726D">
            <w:pPr>
              <w:rPr>
                <w:rFonts w:ascii="Times New Roman" w:hAnsi="Times New Roman" w:cs="Times New Roman"/>
                <w:b/>
              </w:rPr>
            </w:pPr>
            <w:r w:rsidRPr="000F726D">
              <w:rPr>
                <w:rFonts w:ascii="Times New Roman" w:hAnsi="Times New Roman" w:cs="Times New Roman"/>
                <w:b/>
              </w:rPr>
              <w:t>PZA rādītāji</w:t>
            </w:r>
          </w:p>
        </w:tc>
        <w:tc>
          <w:tcPr>
            <w:tcW w:w="1843" w:type="dxa"/>
            <w:vAlign w:val="center"/>
          </w:tcPr>
          <w:p w:rsidR="000F726D" w:rsidRPr="000F726D" w:rsidRDefault="000F726D" w:rsidP="00541201">
            <w:pPr>
              <w:jc w:val="center"/>
              <w:rPr>
                <w:rFonts w:ascii="Times New Roman" w:hAnsi="Times New Roman" w:cs="Times New Roman"/>
                <w:b/>
              </w:rPr>
            </w:pPr>
          </w:p>
        </w:tc>
        <w:tc>
          <w:tcPr>
            <w:tcW w:w="1905" w:type="dxa"/>
            <w:vAlign w:val="center"/>
          </w:tcPr>
          <w:p w:rsidR="000F726D" w:rsidRPr="000F726D" w:rsidRDefault="000F726D" w:rsidP="00541201">
            <w:pPr>
              <w:jc w:val="center"/>
              <w:rPr>
                <w:rFonts w:ascii="Times New Roman" w:hAnsi="Times New Roman" w:cs="Times New Roman"/>
                <w:b/>
              </w:rPr>
            </w:pPr>
          </w:p>
        </w:tc>
        <w:tc>
          <w:tcPr>
            <w:tcW w:w="2028" w:type="dxa"/>
            <w:vAlign w:val="center"/>
          </w:tcPr>
          <w:p w:rsidR="000F726D" w:rsidRPr="000F726D" w:rsidRDefault="000F726D" w:rsidP="00541201">
            <w:pPr>
              <w:jc w:val="center"/>
              <w:rPr>
                <w:rFonts w:ascii="Times New Roman" w:hAnsi="Times New Roman" w:cs="Times New Roman"/>
                <w:b/>
              </w:rPr>
            </w:pPr>
          </w:p>
        </w:tc>
      </w:tr>
      <w:tr w:rsidR="000F726D" w:rsidRPr="000F726D" w:rsidTr="003A2279">
        <w:tc>
          <w:tcPr>
            <w:tcW w:w="959" w:type="dxa"/>
            <w:vAlign w:val="center"/>
          </w:tcPr>
          <w:p w:rsidR="000F726D" w:rsidRPr="000F726D" w:rsidRDefault="000F726D" w:rsidP="00541201">
            <w:pPr>
              <w:jc w:val="center"/>
              <w:rPr>
                <w:rFonts w:ascii="Times New Roman" w:hAnsi="Times New Roman" w:cs="Times New Roman"/>
              </w:rPr>
            </w:pPr>
          </w:p>
        </w:tc>
        <w:tc>
          <w:tcPr>
            <w:tcW w:w="3402" w:type="dxa"/>
            <w:vAlign w:val="center"/>
          </w:tcPr>
          <w:p w:rsidR="000F726D" w:rsidRPr="000F726D" w:rsidRDefault="000F726D" w:rsidP="000F726D">
            <w:pPr>
              <w:rPr>
                <w:rFonts w:ascii="Times New Roman" w:hAnsi="Times New Roman" w:cs="Times New Roman"/>
              </w:rPr>
            </w:pPr>
            <w:r w:rsidRPr="000F726D">
              <w:rPr>
                <w:rFonts w:ascii="Times New Roman" w:hAnsi="Times New Roman" w:cs="Times New Roman"/>
              </w:rPr>
              <w:t>Neto apgrozījums</w:t>
            </w:r>
          </w:p>
        </w:tc>
        <w:tc>
          <w:tcPr>
            <w:tcW w:w="1843" w:type="dxa"/>
            <w:vAlign w:val="center"/>
          </w:tcPr>
          <w:p w:rsidR="000F726D" w:rsidRPr="000F726D" w:rsidRDefault="000F726D" w:rsidP="00541201">
            <w:pPr>
              <w:jc w:val="center"/>
              <w:rPr>
                <w:rFonts w:ascii="Times New Roman" w:hAnsi="Times New Roman" w:cs="Times New Roman"/>
              </w:rPr>
            </w:pPr>
            <w:r w:rsidRPr="000F726D">
              <w:rPr>
                <w:rFonts w:ascii="Times New Roman" w:hAnsi="Times New Roman" w:cs="Times New Roman"/>
              </w:rPr>
              <w:t>2</w:t>
            </w:r>
            <w:r w:rsidR="00F95770">
              <w:rPr>
                <w:rFonts w:ascii="Times New Roman" w:hAnsi="Times New Roman" w:cs="Times New Roman"/>
              </w:rPr>
              <w:t> </w:t>
            </w:r>
            <w:r w:rsidRPr="000F726D">
              <w:rPr>
                <w:rFonts w:ascii="Times New Roman" w:hAnsi="Times New Roman" w:cs="Times New Roman"/>
              </w:rPr>
              <w:t>518</w:t>
            </w:r>
            <w:r w:rsidR="00F95770">
              <w:rPr>
                <w:rFonts w:ascii="Times New Roman" w:hAnsi="Times New Roman" w:cs="Times New Roman"/>
              </w:rPr>
              <w:t xml:space="preserve"> </w:t>
            </w:r>
            <w:r w:rsidRPr="000F726D">
              <w:rPr>
                <w:rFonts w:ascii="Times New Roman" w:hAnsi="Times New Roman" w:cs="Times New Roman"/>
              </w:rPr>
              <w:t>285</w:t>
            </w:r>
          </w:p>
        </w:tc>
        <w:tc>
          <w:tcPr>
            <w:tcW w:w="1905" w:type="dxa"/>
            <w:vAlign w:val="center"/>
          </w:tcPr>
          <w:p w:rsidR="000F726D" w:rsidRPr="000F726D" w:rsidRDefault="000F726D" w:rsidP="00541201">
            <w:pPr>
              <w:jc w:val="center"/>
              <w:rPr>
                <w:rFonts w:ascii="Times New Roman" w:hAnsi="Times New Roman" w:cs="Times New Roman"/>
              </w:rPr>
            </w:pPr>
            <w:r w:rsidRPr="000F726D">
              <w:rPr>
                <w:rFonts w:ascii="Times New Roman" w:hAnsi="Times New Roman" w:cs="Times New Roman"/>
              </w:rPr>
              <w:t>2</w:t>
            </w:r>
            <w:r w:rsidR="00F95770">
              <w:rPr>
                <w:rFonts w:ascii="Times New Roman" w:hAnsi="Times New Roman" w:cs="Times New Roman"/>
              </w:rPr>
              <w:t> </w:t>
            </w:r>
            <w:r w:rsidRPr="000F726D">
              <w:rPr>
                <w:rFonts w:ascii="Times New Roman" w:hAnsi="Times New Roman" w:cs="Times New Roman"/>
              </w:rPr>
              <w:t>397</w:t>
            </w:r>
            <w:r w:rsidR="00F95770">
              <w:rPr>
                <w:rFonts w:ascii="Times New Roman" w:hAnsi="Times New Roman" w:cs="Times New Roman"/>
              </w:rPr>
              <w:t xml:space="preserve"> </w:t>
            </w:r>
            <w:r w:rsidRPr="000F726D">
              <w:rPr>
                <w:rFonts w:ascii="Times New Roman" w:hAnsi="Times New Roman" w:cs="Times New Roman"/>
              </w:rPr>
              <w:t>914</w:t>
            </w:r>
          </w:p>
        </w:tc>
        <w:tc>
          <w:tcPr>
            <w:tcW w:w="2028" w:type="dxa"/>
            <w:vAlign w:val="center"/>
          </w:tcPr>
          <w:p w:rsidR="000F726D" w:rsidRPr="000F726D" w:rsidRDefault="0088454D" w:rsidP="00D94071">
            <w:pPr>
              <w:jc w:val="center"/>
              <w:rPr>
                <w:rFonts w:ascii="Times New Roman" w:hAnsi="Times New Roman" w:cs="Times New Roman"/>
              </w:rPr>
            </w:pPr>
            <w:r>
              <w:rPr>
                <w:rFonts w:ascii="Times New Roman" w:hAnsi="Times New Roman" w:cs="Times New Roman"/>
              </w:rPr>
              <w:t>2</w:t>
            </w:r>
            <w:r w:rsidR="00F95770">
              <w:rPr>
                <w:rFonts w:ascii="Times New Roman" w:hAnsi="Times New Roman" w:cs="Times New Roman"/>
              </w:rPr>
              <w:t> </w:t>
            </w:r>
            <w:r w:rsidR="00D94071">
              <w:rPr>
                <w:rFonts w:ascii="Times New Roman" w:hAnsi="Times New Roman" w:cs="Times New Roman"/>
              </w:rPr>
              <w:t>658</w:t>
            </w:r>
            <w:r w:rsidR="00F95770">
              <w:rPr>
                <w:rFonts w:ascii="Times New Roman" w:hAnsi="Times New Roman" w:cs="Times New Roman"/>
              </w:rPr>
              <w:t xml:space="preserve"> </w:t>
            </w:r>
            <w:r w:rsidR="00D94071">
              <w:rPr>
                <w:rFonts w:ascii="Times New Roman" w:hAnsi="Times New Roman" w:cs="Times New Roman"/>
              </w:rPr>
              <w:t>241</w:t>
            </w:r>
          </w:p>
        </w:tc>
      </w:tr>
      <w:tr w:rsidR="000F726D" w:rsidRPr="000F726D" w:rsidTr="003A2279">
        <w:tc>
          <w:tcPr>
            <w:tcW w:w="959" w:type="dxa"/>
            <w:vAlign w:val="center"/>
          </w:tcPr>
          <w:p w:rsidR="000F726D" w:rsidRPr="000F726D" w:rsidRDefault="000F726D" w:rsidP="00541201">
            <w:pPr>
              <w:jc w:val="center"/>
              <w:rPr>
                <w:rFonts w:ascii="Times New Roman" w:hAnsi="Times New Roman" w:cs="Times New Roman"/>
              </w:rPr>
            </w:pPr>
          </w:p>
        </w:tc>
        <w:tc>
          <w:tcPr>
            <w:tcW w:w="3402" w:type="dxa"/>
            <w:vAlign w:val="center"/>
          </w:tcPr>
          <w:p w:rsidR="000F726D" w:rsidRPr="000F726D" w:rsidRDefault="000F726D" w:rsidP="000F726D">
            <w:pPr>
              <w:rPr>
                <w:rFonts w:ascii="Times New Roman" w:hAnsi="Times New Roman" w:cs="Times New Roman"/>
              </w:rPr>
            </w:pPr>
            <w:r>
              <w:rPr>
                <w:rFonts w:ascii="Times New Roman" w:hAnsi="Times New Roman" w:cs="Times New Roman"/>
              </w:rPr>
              <w:t>Pārējie ieņēmumi</w:t>
            </w:r>
          </w:p>
        </w:tc>
        <w:tc>
          <w:tcPr>
            <w:tcW w:w="1843" w:type="dxa"/>
            <w:vAlign w:val="center"/>
          </w:tcPr>
          <w:p w:rsidR="000F726D" w:rsidRPr="000F726D" w:rsidRDefault="000F726D" w:rsidP="00541201">
            <w:pPr>
              <w:jc w:val="center"/>
              <w:rPr>
                <w:rFonts w:ascii="Times New Roman" w:hAnsi="Times New Roman" w:cs="Times New Roman"/>
              </w:rPr>
            </w:pPr>
            <w:r>
              <w:rPr>
                <w:rFonts w:ascii="Times New Roman" w:hAnsi="Times New Roman" w:cs="Times New Roman"/>
              </w:rPr>
              <w:t>31</w:t>
            </w:r>
            <w:r w:rsidR="00F95770">
              <w:rPr>
                <w:rFonts w:ascii="Times New Roman" w:hAnsi="Times New Roman" w:cs="Times New Roman"/>
              </w:rPr>
              <w:t xml:space="preserve"> </w:t>
            </w:r>
            <w:r>
              <w:rPr>
                <w:rFonts w:ascii="Times New Roman" w:hAnsi="Times New Roman" w:cs="Times New Roman"/>
              </w:rPr>
              <w:t>332</w:t>
            </w:r>
          </w:p>
        </w:tc>
        <w:tc>
          <w:tcPr>
            <w:tcW w:w="1905" w:type="dxa"/>
            <w:vAlign w:val="center"/>
          </w:tcPr>
          <w:p w:rsidR="000F726D" w:rsidRPr="000F726D" w:rsidRDefault="000F726D" w:rsidP="00541201">
            <w:pPr>
              <w:jc w:val="center"/>
              <w:rPr>
                <w:rFonts w:ascii="Times New Roman" w:hAnsi="Times New Roman" w:cs="Times New Roman"/>
              </w:rPr>
            </w:pPr>
            <w:r>
              <w:rPr>
                <w:rFonts w:ascii="Times New Roman" w:hAnsi="Times New Roman" w:cs="Times New Roman"/>
              </w:rPr>
              <w:t>98</w:t>
            </w:r>
            <w:r w:rsidR="00F95770">
              <w:rPr>
                <w:rFonts w:ascii="Times New Roman" w:hAnsi="Times New Roman" w:cs="Times New Roman"/>
              </w:rPr>
              <w:t xml:space="preserve"> </w:t>
            </w:r>
            <w:r>
              <w:rPr>
                <w:rFonts w:ascii="Times New Roman" w:hAnsi="Times New Roman" w:cs="Times New Roman"/>
              </w:rPr>
              <w:t>338</w:t>
            </w:r>
          </w:p>
        </w:tc>
        <w:tc>
          <w:tcPr>
            <w:tcW w:w="2028" w:type="dxa"/>
            <w:vAlign w:val="center"/>
          </w:tcPr>
          <w:p w:rsidR="0088454D" w:rsidRPr="000F726D" w:rsidRDefault="0088454D" w:rsidP="0088454D">
            <w:pPr>
              <w:jc w:val="center"/>
              <w:rPr>
                <w:rFonts w:ascii="Times New Roman" w:hAnsi="Times New Roman" w:cs="Times New Roman"/>
              </w:rPr>
            </w:pPr>
            <w:r>
              <w:rPr>
                <w:rFonts w:ascii="Times New Roman" w:hAnsi="Times New Roman" w:cs="Times New Roman"/>
              </w:rPr>
              <w:t>75</w:t>
            </w:r>
            <w:r w:rsidR="00F95770">
              <w:rPr>
                <w:rFonts w:ascii="Times New Roman" w:hAnsi="Times New Roman" w:cs="Times New Roman"/>
              </w:rPr>
              <w:t xml:space="preserve"> </w:t>
            </w:r>
            <w:r>
              <w:rPr>
                <w:rFonts w:ascii="Times New Roman" w:hAnsi="Times New Roman" w:cs="Times New Roman"/>
              </w:rPr>
              <w:t>056</w:t>
            </w:r>
          </w:p>
        </w:tc>
      </w:tr>
      <w:tr w:rsidR="000F726D" w:rsidRPr="000F726D" w:rsidTr="003A2279">
        <w:tc>
          <w:tcPr>
            <w:tcW w:w="959" w:type="dxa"/>
            <w:vAlign w:val="center"/>
          </w:tcPr>
          <w:p w:rsidR="000F726D" w:rsidRPr="000F726D" w:rsidRDefault="000F726D" w:rsidP="00541201">
            <w:pPr>
              <w:jc w:val="center"/>
              <w:rPr>
                <w:rFonts w:ascii="Times New Roman" w:hAnsi="Times New Roman" w:cs="Times New Roman"/>
              </w:rPr>
            </w:pPr>
          </w:p>
        </w:tc>
        <w:tc>
          <w:tcPr>
            <w:tcW w:w="3402" w:type="dxa"/>
            <w:vAlign w:val="center"/>
          </w:tcPr>
          <w:p w:rsidR="000F726D" w:rsidRDefault="000F726D" w:rsidP="000F726D">
            <w:pPr>
              <w:rPr>
                <w:rFonts w:ascii="Times New Roman" w:hAnsi="Times New Roman" w:cs="Times New Roman"/>
              </w:rPr>
            </w:pPr>
            <w:r>
              <w:rPr>
                <w:rFonts w:ascii="Times New Roman" w:hAnsi="Times New Roman" w:cs="Times New Roman"/>
              </w:rPr>
              <w:t>Ražošanas izmaksas</w:t>
            </w:r>
          </w:p>
        </w:tc>
        <w:tc>
          <w:tcPr>
            <w:tcW w:w="1843" w:type="dxa"/>
            <w:vAlign w:val="center"/>
          </w:tcPr>
          <w:p w:rsidR="000F726D" w:rsidRDefault="000F726D" w:rsidP="00541201">
            <w:pPr>
              <w:jc w:val="center"/>
              <w:rPr>
                <w:rFonts w:ascii="Times New Roman" w:hAnsi="Times New Roman" w:cs="Times New Roman"/>
              </w:rPr>
            </w:pPr>
            <w:r>
              <w:rPr>
                <w:rFonts w:ascii="Times New Roman" w:hAnsi="Times New Roman" w:cs="Times New Roman"/>
              </w:rPr>
              <w:t>2</w:t>
            </w:r>
            <w:r w:rsidR="00F95770">
              <w:rPr>
                <w:rFonts w:ascii="Times New Roman" w:hAnsi="Times New Roman" w:cs="Times New Roman"/>
              </w:rPr>
              <w:t> </w:t>
            </w:r>
            <w:r>
              <w:rPr>
                <w:rFonts w:ascii="Times New Roman" w:hAnsi="Times New Roman" w:cs="Times New Roman"/>
              </w:rPr>
              <w:t>108</w:t>
            </w:r>
            <w:r w:rsidR="00F95770">
              <w:rPr>
                <w:rFonts w:ascii="Times New Roman" w:hAnsi="Times New Roman" w:cs="Times New Roman"/>
              </w:rPr>
              <w:t xml:space="preserve"> </w:t>
            </w:r>
            <w:r>
              <w:rPr>
                <w:rFonts w:ascii="Times New Roman" w:hAnsi="Times New Roman" w:cs="Times New Roman"/>
              </w:rPr>
              <w:t>885</w:t>
            </w:r>
          </w:p>
        </w:tc>
        <w:tc>
          <w:tcPr>
            <w:tcW w:w="1905" w:type="dxa"/>
            <w:vAlign w:val="center"/>
          </w:tcPr>
          <w:p w:rsidR="000F726D" w:rsidRDefault="000F726D" w:rsidP="00541201">
            <w:pPr>
              <w:jc w:val="center"/>
              <w:rPr>
                <w:rFonts w:ascii="Times New Roman" w:hAnsi="Times New Roman" w:cs="Times New Roman"/>
              </w:rPr>
            </w:pPr>
            <w:r>
              <w:rPr>
                <w:rFonts w:ascii="Times New Roman" w:hAnsi="Times New Roman" w:cs="Times New Roman"/>
              </w:rPr>
              <w:t>1</w:t>
            </w:r>
            <w:r w:rsidR="00F95770">
              <w:rPr>
                <w:rFonts w:ascii="Times New Roman" w:hAnsi="Times New Roman" w:cs="Times New Roman"/>
              </w:rPr>
              <w:t> </w:t>
            </w:r>
            <w:r>
              <w:rPr>
                <w:rFonts w:ascii="Times New Roman" w:hAnsi="Times New Roman" w:cs="Times New Roman"/>
              </w:rPr>
              <w:t>874</w:t>
            </w:r>
            <w:r w:rsidR="00F95770">
              <w:rPr>
                <w:rFonts w:ascii="Times New Roman" w:hAnsi="Times New Roman" w:cs="Times New Roman"/>
              </w:rPr>
              <w:t xml:space="preserve"> </w:t>
            </w:r>
            <w:r>
              <w:rPr>
                <w:rFonts w:ascii="Times New Roman" w:hAnsi="Times New Roman" w:cs="Times New Roman"/>
              </w:rPr>
              <w:t>693</w:t>
            </w:r>
          </w:p>
        </w:tc>
        <w:tc>
          <w:tcPr>
            <w:tcW w:w="2028" w:type="dxa"/>
            <w:vAlign w:val="center"/>
          </w:tcPr>
          <w:p w:rsidR="000F726D" w:rsidRPr="000F726D" w:rsidRDefault="000F06A0" w:rsidP="00D94071">
            <w:pPr>
              <w:jc w:val="center"/>
              <w:rPr>
                <w:rFonts w:ascii="Times New Roman" w:hAnsi="Times New Roman" w:cs="Times New Roman"/>
              </w:rPr>
            </w:pPr>
            <w:r>
              <w:rPr>
                <w:rFonts w:ascii="Times New Roman" w:hAnsi="Times New Roman" w:cs="Times New Roman"/>
              </w:rPr>
              <w:t>2</w:t>
            </w:r>
            <w:r w:rsidR="00F95770">
              <w:rPr>
                <w:rFonts w:ascii="Times New Roman" w:hAnsi="Times New Roman" w:cs="Times New Roman"/>
              </w:rPr>
              <w:t> </w:t>
            </w:r>
            <w:r>
              <w:rPr>
                <w:rFonts w:ascii="Times New Roman" w:hAnsi="Times New Roman" w:cs="Times New Roman"/>
              </w:rPr>
              <w:t>244</w:t>
            </w:r>
            <w:r w:rsidR="00F95770">
              <w:rPr>
                <w:rFonts w:ascii="Times New Roman" w:hAnsi="Times New Roman" w:cs="Times New Roman"/>
              </w:rPr>
              <w:t xml:space="preserve"> </w:t>
            </w:r>
            <w:r>
              <w:rPr>
                <w:rFonts w:ascii="Times New Roman" w:hAnsi="Times New Roman" w:cs="Times New Roman"/>
              </w:rPr>
              <w:t>072</w:t>
            </w:r>
          </w:p>
        </w:tc>
      </w:tr>
      <w:tr w:rsidR="000F726D" w:rsidRPr="000F726D" w:rsidTr="003A2279">
        <w:tc>
          <w:tcPr>
            <w:tcW w:w="959" w:type="dxa"/>
            <w:vAlign w:val="center"/>
          </w:tcPr>
          <w:p w:rsidR="000F726D" w:rsidRPr="000F726D" w:rsidRDefault="000F726D" w:rsidP="00541201">
            <w:pPr>
              <w:jc w:val="center"/>
              <w:rPr>
                <w:rFonts w:ascii="Times New Roman" w:hAnsi="Times New Roman" w:cs="Times New Roman"/>
              </w:rPr>
            </w:pPr>
          </w:p>
        </w:tc>
        <w:tc>
          <w:tcPr>
            <w:tcW w:w="3402" w:type="dxa"/>
            <w:vAlign w:val="center"/>
          </w:tcPr>
          <w:p w:rsidR="000F726D" w:rsidRDefault="000F726D" w:rsidP="000F726D">
            <w:pPr>
              <w:rPr>
                <w:rFonts w:ascii="Times New Roman" w:hAnsi="Times New Roman" w:cs="Times New Roman"/>
              </w:rPr>
            </w:pPr>
            <w:r>
              <w:rPr>
                <w:rFonts w:ascii="Times New Roman" w:hAnsi="Times New Roman" w:cs="Times New Roman"/>
              </w:rPr>
              <w:t>Pārējās izmaksas, t.sk. administrācijas izmaksas</w:t>
            </w:r>
            <w:r w:rsidR="00836E29">
              <w:rPr>
                <w:rFonts w:ascii="Times New Roman" w:hAnsi="Times New Roman" w:cs="Times New Roman"/>
              </w:rPr>
              <w:t xml:space="preserve"> (pirms % maksājumiem un tamlīdzīgām izmaksām)</w:t>
            </w:r>
          </w:p>
        </w:tc>
        <w:tc>
          <w:tcPr>
            <w:tcW w:w="1843" w:type="dxa"/>
            <w:vAlign w:val="center"/>
          </w:tcPr>
          <w:p w:rsidR="000F726D" w:rsidRDefault="00A574C3" w:rsidP="00541201">
            <w:pPr>
              <w:jc w:val="center"/>
              <w:rPr>
                <w:rFonts w:ascii="Times New Roman" w:hAnsi="Times New Roman" w:cs="Times New Roman"/>
              </w:rPr>
            </w:pPr>
            <w:r>
              <w:rPr>
                <w:rFonts w:ascii="Times New Roman" w:hAnsi="Times New Roman" w:cs="Times New Roman"/>
              </w:rPr>
              <w:t>426 134</w:t>
            </w:r>
          </w:p>
        </w:tc>
        <w:tc>
          <w:tcPr>
            <w:tcW w:w="1905" w:type="dxa"/>
            <w:vAlign w:val="center"/>
          </w:tcPr>
          <w:p w:rsidR="000F726D" w:rsidRDefault="000F726D" w:rsidP="009206DF">
            <w:pPr>
              <w:jc w:val="center"/>
              <w:rPr>
                <w:rFonts w:ascii="Times New Roman" w:hAnsi="Times New Roman" w:cs="Times New Roman"/>
              </w:rPr>
            </w:pPr>
            <w:r>
              <w:rPr>
                <w:rFonts w:ascii="Times New Roman" w:hAnsi="Times New Roman" w:cs="Times New Roman"/>
              </w:rPr>
              <w:t>42</w:t>
            </w:r>
            <w:r w:rsidR="009206DF">
              <w:rPr>
                <w:rFonts w:ascii="Times New Roman" w:hAnsi="Times New Roman" w:cs="Times New Roman"/>
              </w:rPr>
              <w:t>1</w:t>
            </w:r>
            <w:r w:rsidR="00F95770">
              <w:rPr>
                <w:rFonts w:ascii="Times New Roman" w:hAnsi="Times New Roman" w:cs="Times New Roman"/>
              </w:rPr>
              <w:t xml:space="preserve"> </w:t>
            </w:r>
            <w:r w:rsidR="009206DF">
              <w:rPr>
                <w:rFonts w:ascii="Times New Roman" w:hAnsi="Times New Roman" w:cs="Times New Roman"/>
              </w:rPr>
              <w:t>818</w:t>
            </w:r>
          </w:p>
        </w:tc>
        <w:tc>
          <w:tcPr>
            <w:tcW w:w="2028" w:type="dxa"/>
            <w:vAlign w:val="center"/>
          </w:tcPr>
          <w:p w:rsidR="000F726D" w:rsidRPr="000F726D" w:rsidRDefault="0088454D" w:rsidP="00D94071">
            <w:pPr>
              <w:jc w:val="center"/>
              <w:rPr>
                <w:rFonts w:ascii="Times New Roman" w:hAnsi="Times New Roman" w:cs="Times New Roman"/>
              </w:rPr>
            </w:pPr>
            <w:r>
              <w:rPr>
                <w:rFonts w:ascii="Times New Roman" w:hAnsi="Times New Roman" w:cs="Times New Roman"/>
              </w:rPr>
              <w:t>44</w:t>
            </w:r>
            <w:r w:rsidR="00D94071">
              <w:rPr>
                <w:rFonts w:ascii="Times New Roman" w:hAnsi="Times New Roman" w:cs="Times New Roman"/>
              </w:rPr>
              <w:t>1</w:t>
            </w:r>
            <w:r w:rsidR="00F95770">
              <w:rPr>
                <w:rFonts w:ascii="Times New Roman" w:hAnsi="Times New Roman" w:cs="Times New Roman"/>
              </w:rPr>
              <w:t xml:space="preserve"> </w:t>
            </w:r>
            <w:r w:rsidR="00D94071">
              <w:rPr>
                <w:rFonts w:ascii="Times New Roman" w:hAnsi="Times New Roman" w:cs="Times New Roman"/>
              </w:rPr>
              <w:t>038</w:t>
            </w:r>
          </w:p>
        </w:tc>
      </w:tr>
      <w:tr w:rsidR="000F726D" w:rsidRPr="000F726D" w:rsidTr="003A2279">
        <w:tc>
          <w:tcPr>
            <w:tcW w:w="959" w:type="dxa"/>
            <w:vAlign w:val="center"/>
          </w:tcPr>
          <w:p w:rsidR="000F726D" w:rsidRPr="000F726D" w:rsidRDefault="000F726D" w:rsidP="00541201">
            <w:pPr>
              <w:jc w:val="center"/>
              <w:rPr>
                <w:rFonts w:ascii="Times New Roman" w:hAnsi="Times New Roman" w:cs="Times New Roman"/>
              </w:rPr>
            </w:pPr>
          </w:p>
        </w:tc>
        <w:tc>
          <w:tcPr>
            <w:tcW w:w="3402" w:type="dxa"/>
            <w:vAlign w:val="center"/>
          </w:tcPr>
          <w:p w:rsidR="000F726D" w:rsidRDefault="008E14B7" w:rsidP="000F726D">
            <w:pPr>
              <w:rPr>
                <w:rFonts w:ascii="Times New Roman" w:hAnsi="Times New Roman" w:cs="Times New Roman"/>
              </w:rPr>
            </w:pPr>
            <w:r>
              <w:rPr>
                <w:rFonts w:ascii="Times New Roman" w:hAnsi="Times New Roman" w:cs="Times New Roman"/>
              </w:rPr>
              <w:t>t.sk. nolietojums</w:t>
            </w:r>
            <w:r w:rsidR="00836E29">
              <w:rPr>
                <w:rFonts w:ascii="Times New Roman" w:hAnsi="Times New Roman" w:cs="Times New Roman"/>
              </w:rPr>
              <w:t xml:space="preserve"> (ražošanas un pārējās izmaksās)</w:t>
            </w:r>
          </w:p>
        </w:tc>
        <w:tc>
          <w:tcPr>
            <w:tcW w:w="1843" w:type="dxa"/>
            <w:vAlign w:val="center"/>
          </w:tcPr>
          <w:p w:rsidR="000F726D" w:rsidRDefault="00836E29" w:rsidP="00541201">
            <w:pPr>
              <w:jc w:val="center"/>
              <w:rPr>
                <w:rFonts w:ascii="Times New Roman" w:hAnsi="Times New Roman" w:cs="Times New Roman"/>
              </w:rPr>
            </w:pPr>
            <w:r>
              <w:rPr>
                <w:rFonts w:ascii="Times New Roman" w:hAnsi="Times New Roman" w:cs="Times New Roman"/>
              </w:rPr>
              <w:t>142</w:t>
            </w:r>
            <w:r w:rsidR="00A574C3">
              <w:rPr>
                <w:rFonts w:ascii="Times New Roman" w:hAnsi="Times New Roman" w:cs="Times New Roman"/>
              </w:rPr>
              <w:t xml:space="preserve"> </w:t>
            </w:r>
            <w:r>
              <w:rPr>
                <w:rFonts w:ascii="Times New Roman" w:hAnsi="Times New Roman" w:cs="Times New Roman"/>
              </w:rPr>
              <w:t>350</w:t>
            </w:r>
          </w:p>
        </w:tc>
        <w:tc>
          <w:tcPr>
            <w:tcW w:w="1905" w:type="dxa"/>
            <w:vAlign w:val="center"/>
          </w:tcPr>
          <w:p w:rsidR="000F726D" w:rsidRDefault="00836E29" w:rsidP="00541201">
            <w:pPr>
              <w:jc w:val="center"/>
              <w:rPr>
                <w:rFonts w:ascii="Times New Roman" w:hAnsi="Times New Roman" w:cs="Times New Roman"/>
              </w:rPr>
            </w:pPr>
            <w:r>
              <w:rPr>
                <w:rFonts w:ascii="Times New Roman" w:hAnsi="Times New Roman" w:cs="Times New Roman"/>
              </w:rPr>
              <w:t>194</w:t>
            </w:r>
            <w:r w:rsidR="00A574C3">
              <w:rPr>
                <w:rFonts w:ascii="Times New Roman" w:hAnsi="Times New Roman" w:cs="Times New Roman"/>
              </w:rPr>
              <w:t xml:space="preserve"> </w:t>
            </w:r>
            <w:r>
              <w:rPr>
                <w:rFonts w:ascii="Times New Roman" w:hAnsi="Times New Roman" w:cs="Times New Roman"/>
              </w:rPr>
              <w:t>258</w:t>
            </w:r>
          </w:p>
        </w:tc>
        <w:tc>
          <w:tcPr>
            <w:tcW w:w="2028" w:type="dxa"/>
            <w:vAlign w:val="center"/>
          </w:tcPr>
          <w:p w:rsidR="000F726D" w:rsidRPr="000F726D" w:rsidRDefault="0088454D" w:rsidP="00541201">
            <w:pPr>
              <w:jc w:val="center"/>
              <w:rPr>
                <w:rFonts w:ascii="Times New Roman" w:hAnsi="Times New Roman" w:cs="Times New Roman"/>
              </w:rPr>
            </w:pPr>
            <w:r>
              <w:rPr>
                <w:rFonts w:ascii="Times New Roman" w:hAnsi="Times New Roman" w:cs="Times New Roman"/>
              </w:rPr>
              <w:t>205</w:t>
            </w:r>
            <w:r w:rsidR="00A574C3">
              <w:rPr>
                <w:rFonts w:ascii="Times New Roman" w:hAnsi="Times New Roman" w:cs="Times New Roman"/>
              </w:rPr>
              <w:t xml:space="preserve"> </w:t>
            </w:r>
            <w:r>
              <w:rPr>
                <w:rFonts w:ascii="Times New Roman" w:hAnsi="Times New Roman" w:cs="Times New Roman"/>
              </w:rPr>
              <w:t>764</w:t>
            </w:r>
          </w:p>
        </w:tc>
      </w:tr>
      <w:tr w:rsidR="00836E29" w:rsidRPr="000F726D" w:rsidTr="003A2279">
        <w:tc>
          <w:tcPr>
            <w:tcW w:w="959" w:type="dxa"/>
            <w:vAlign w:val="center"/>
          </w:tcPr>
          <w:p w:rsidR="00836E29" w:rsidRPr="000F726D" w:rsidRDefault="00836E29" w:rsidP="00541201">
            <w:pPr>
              <w:jc w:val="center"/>
              <w:rPr>
                <w:rFonts w:ascii="Times New Roman" w:hAnsi="Times New Roman" w:cs="Times New Roman"/>
              </w:rPr>
            </w:pPr>
          </w:p>
        </w:tc>
        <w:tc>
          <w:tcPr>
            <w:tcW w:w="3402" w:type="dxa"/>
            <w:vAlign w:val="center"/>
          </w:tcPr>
          <w:p w:rsidR="00836E29" w:rsidRDefault="00836E29" w:rsidP="000F726D">
            <w:pPr>
              <w:rPr>
                <w:rFonts w:ascii="Times New Roman" w:hAnsi="Times New Roman" w:cs="Times New Roman"/>
              </w:rPr>
            </w:pPr>
            <w:r>
              <w:rPr>
                <w:rFonts w:ascii="Times New Roman" w:hAnsi="Times New Roman" w:cs="Times New Roman"/>
              </w:rPr>
              <w:t>Peļņa vai zaudējumi pirms procentiem, nodokļiem un amortizācijas (EBITDA)</w:t>
            </w:r>
          </w:p>
        </w:tc>
        <w:tc>
          <w:tcPr>
            <w:tcW w:w="1843" w:type="dxa"/>
            <w:vAlign w:val="center"/>
          </w:tcPr>
          <w:p w:rsidR="00836E29" w:rsidRDefault="00C83CFB" w:rsidP="00536CC9">
            <w:pPr>
              <w:jc w:val="center"/>
              <w:rPr>
                <w:rFonts w:ascii="Times New Roman" w:hAnsi="Times New Roman" w:cs="Times New Roman"/>
              </w:rPr>
            </w:pPr>
            <w:r>
              <w:rPr>
                <w:rFonts w:ascii="Times New Roman" w:hAnsi="Times New Roman" w:cs="Times New Roman"/>
              </w:rPr>
              <w:t>15</w:t>
            </w:r>
            <w:r w:rsidR="00536CC9">
              <w:rPr>
                <w:rFonts w:ascii="Times New Roman" w:hAnsi="Times New Roman" w:cs="Times New Roman"/>
              </w:rPr>
              <w:t>6</w:t>
            </w:r>
            <w:r w:rsidR="00A574C3">
              <w:rPr>
                <w:rFonts w:ascii="Times New Roman" w:hAnsi="Times New Roman" w:cs="Times New Roman"/>
              </w:rPr>
              <w:t xml:space="preserve"> </w:t>
            </w:r>
            <w:r>
              <w:rPr>
                <w:rFonts w:ascii="Times New Roman" w:hAnsi="Times New Roman" w:cs="Times New Roman"/>
              </w:rPr>
              <w:t>948</w:t>
            </w:r>
          </w:p>
        </w:tc>
        <w:tc>
          <w:tcPr>
            <w:tcW w:w="1905" w:type="dxa"/>
            <w:vAlign w:val="center"/>
          </w:tcPr>
          <w:p w:rsidR="00836E29" w:rsidRDefault="00536CC9" w:rsidP="00541201">
            <w:pPr>
              <w:jc w:val="center"/>
              <w:rPr>
                <w:rFonts w:ascii="Times New Roman" w:hAnsi="Times New Roman" w:cs="Times New Roman"/>
              </w:rPr>
            </w:pPr>
            <w:r>
              <w:rPr>
                <w:rFonts w:ascii="Times New Roman" w:hAnsi="Times New Roman" w:cs="Times New Roman"/>
              </w:rPr>
              <w:t>393</w:t>
            </w:r>
            <w:r w:rsidR="00A574C3">
              <w:rPr>
                <w:rFonts w:ascii="Times New Roman" w:hAnsi="Times New Roman" w:cs="Times New Roman"/>
              </w:rPr>
              <w:t xml:space="preserve"> </w:t>
            </w:r>
            <w:r>
              <w:rPr>
                <w:rFonts w:ascii="Times New Roman" w:hAnsi="Times New Roman" w:cs="Times New Roman"/>
              </w:rPr>
              <w:t>999</w:t>
            </w:r>
          </w:p>
        </w:tc>
        <w:tc>
          <w:tcPr>
            <w:tcW w:w="2028" w:type="dxa"/>
            <w:vAlign w:val="center"/>
          </w:tcPr>
          <w:p w:rsidR="00836E29" w:rsidRPr="000F726D" w:rsidRDefault="000F06A0" w:rsidP="00541201">
            <w:pPr>
              <w:jc w:val="center"/>
              <w:rPr>
                <w:rFonts w:ascii="Times New Roman" w:hAnsi="Times New Roman" w:cs="Times New Roman"/>
              </w:rPr>
            </w:pPr>
            <w:r>
              <w:rPr>
                <w:rFonts w:ascii="Times New Roman" w:hAnsi="Times New Roman" w:cs="Times New Roman"/>
              </w:rPr>
              <w:t>253951</w:t>
            </w:r>
          </w:p>
        </w:tc>
      </w:tr>
      <w:tr w:rsidR="00536CC9" w:rsidRPr="000F726D" w:rsidTr="003A2279">
        <w:tc>
          <w:tcPr>
            <w:tcW w:w="959" w:type="dxa"/>
            <w:vAlign w:val="center"/>
          </w:tcPr>
          <w:p w:rsidR="00536CC9" w:rsidRPr="000F726D" w:rsidRDefault="00536CC9" w:rsidP="00541201">
            <w:pPr>
              <w:jc w:val="center"/>
              <w:rPr>
                <w:rFonts w:ascii="Times New Roman" w:hAnsi="Times New Roman" w:cs="Times New Roman"/>
              </w:rPr>
            </w:pPr>
          </w:p>
        </w:tc>
        <w:tc>
          <w:tcPr>
            <w:tcW w:w="3402" w:type="dxa"/>
            <w:vAlign w:val="center"/>
          </w:tcPr>
          <w:p w:rsidR="00536CC9" w:rsidRDefault="00536CC9" w:rsidP="000F726D">
            <w:pPr>
              <w:rPr>
                <w:rFonts w:ascii="Times New Roman" w:hAnsi="Times New Roman" w:cs="Times New Roman"/>
              </w:rPr>
            </w:pPr>
            <w:r>
              <w:rPr>
                <w:rFonts w:ascii="Times New Roman" w:hAnsi="Times New Roman" w:cs="Times New Roman"/>
              </w:rPr>
              <w:t>Neto peļņa vai zaudējumi</w:t>
            </w:r>
          </w:p>
        </w:tc>
        <w:tc>
          <w:tcPr>
            <w:tcW w:w="1843" w:type="dxa"/>
            <w:vAlign w:val="center"/>
          </w:tcPr>
          <w:p w:rsidR="00536CC9" w:rsidRDefault="00536CC9" w:rsidP="00541201">
            <w:pPr>
              <w:jc w:val="center"/>
              <w:rPr>
                <w:rFonts w:ascii="Times New Roman" w:hAnsi="Times New Roman" w:cs="Times New Roman"/>
              </w:rPr>
            </w:pPr>
            <w:r>
              <w:rPr>
                <w:rFonts w:ascii="Times New Roman" w:hAnsi="Times New Roman" w:cs="Times New Roman"/>
              </w:rPr>
              <w:t>26</w:t>
            </w:r>
            <w:r w:rsidR="00A574C3">
              <w:rPr>
                <w:rFonts w:ascii="Times New Roman" w:hAnsi="Times New Roman" w:cs="Times New Roman"/>
              </w:rPr>
              <w:t xml:space="preserve"> </w:t>
            </w:r>
            <w:r>
              <w:rPr>
                <w:rFonts w:ascii="Times New Roman" w:hAnsi="Times New Roman" w:cs="Times New Roman"/>
              </w:rPr>
              <w:t>213</w:t>
            </w:r>
          </w:p>
        </w:tc>
        <w:tc>
          <w:tcPr>
            <w:tcW w:w="1905" w:type="dxa"/>
            <w:vAlign w:val="center"/>
          </w:tcPr>
          <w:p w:rsidR="00536CC9" w:rsidRDefault="00D7504F" w:rsidP="00541201">
            <w:pPr>
              <w:jc w:val="center"/>
              <w:rPr>
                <w:rFonts w:ascii="Times New Roman" w:hAnsi="Times New Roman" w:cs="Times New Roman"/>
              </w:rPr>
            </w:pPr>
            <w:r>
              <w:rPr>
                <w:rFonts w:ascii="Times New Roman" w:hAnsi="Times New Roman" w:cs="Times New Roman"/>
              </w:rPr>
              <w:t>203</w:t>
            </w:r>
            <w:r w:rsidR="00A574C3">
              <w:rPr>
                <w:rFonts w:ascii="Times New Roman" w:hAnsi="Times New Roman" w:cs="Times New Roman"/>
              </w:rPr>
              <w:t xml:space="preserve"> </w:t>
            </w:r>
            <w:r>
              <w:rPr>
                <w:rFonts w:ascii="Times New Roman" w:hAnsi="Times New Roman" w:cs="Times New Roman"/>
              </w:rPr>
              <w:t>387</w:t>
            </w:r>
          </w:p>
        </w:tc>
        <w:tc>
          <w:tcPr>
            <w:tcW w:w="2028" w:type="dxa"/>
            <w:vAlign w:val="center"/>
          </w:tcPr>
          <w:p w:rsidR="00536CC9" w:rsidRPr="000F726D" w:rsidRDefault="009206DF" w:rsidP="00541201">
            <w:pPr>
              <w:jc w:val="center"/>
              <w:rPr>
                <w:rFonts w:ascii="Times New Roman" w:hAnsi="Times New Roman" w:cs="Times New Roman"/>
              </w:rPr>
            </w:pPr>
            <w:r>
              <w:rPr>
                <w:rFonts w:ascii="Times New Roman" w:hAnsi="Times New Roman" w:cs="Times New Roman"/>
              </w:rPr>
              <w:t>2</w:t>
            </w:r>
            <w:r w:rsidR="00A574C3">
              <w:rPr>
                <w:rFonts w:ascii="Times New Roman" w:hAnsi="Times New Roman" w:cs="Times New Roman"/>
              </w:rPr>
              <w:t xml:space="preserve"> </w:t>
            </w:r>
            <w:r>
              <w:rPr>
                <w:rFonts w:ascii="Times New Roman" w:hAnsi="Times New Roman" w:cs="Times New Roman"/>
              </w:rPr>
              <w:t>187</w:t>
            </w:r>
          </w:p>
        </w:tc>
      </w:tr>
      <w:tr w:rsidR="00536CC9" w:rsidRPr="000F726D" w:rsidTr="003A2279">
        <w:tc>
          <w:tcPr>
            <w:tcW w:w="959" w:type="dxa"/>
            <w:vAlign w:val="center"/>
          </w:tcPr>
          <w:p w:rsidR="00536CC9" w:rsidRPr="000F726D" w:rsidRDefault="00536CC9" w:rsidP="00541201">
            <w:pPr>
              <w:jc w:val="center"/>
              <w:rPr>
                <w:rFonts w:ascii="Times New Roman" w:hAnsi="Times New Roman" w:cs="Times New Roman"/>
              </w:rPr>
            </w:pPr>
          </w:p>
        </w:tc>
        <w:tc>
          <w:tcPr>
            <w:tcW w:w="3402" w:type="dxa"/>
            <w:vAlign w:val="center"/>
          </w:tcPr>
          <w:p w:rsidR="00536CC9" w:rsidRDefault="00536CC9" w:rsidP="000F726D">
            <w:pPr>
              <w:rPr>
                <w:rFonts w:ascii="Times New Roman" w:hAnsi="Times New Roman" w:cs="Times New Roman"/>
              </w:rPr>
            </w:pPr>
            <w:r>
              <w:rPr>
                <w:rFonts w:ascii="Times New Roman" w:hAnsi="Times New Roman" w:cs="Times New Roman"/>
              </w:rPr>
              <w:t>Dividendes</w:t>
            </w:r>
          </w:p>
        </w:tc>
        <w:tc>
          <w:tcPr>
            <w:tcW w:w="1843" w:type="dxa"/>
            <w:vAlign w:val="center"/>
          </w:tcPr>
          <w:p w:rsidR="00536CC9" w:rsidRDefault="00536CC9" w:rsidP="00541201">
            <w:pPr>
              <w:jc w:val="center"/>
              <w:rPr>
                <w:rFonts w:ascii="Times New Roman" w:hAnsi="Times New Roman" w:cs="Times New Roman"/>
              </w:rPr>
            </w:pPr>
            <w:r>
              <w:rPr>
                <w:rFonts w:ascii="Times New Roman" w:hAnsi="Times New Roman" w:cs="Times New Roman"/>
              </w:rPr>
              <w:t>0</w:t>
            </w:r>
          </w:p>
        </w:tc>
        <w:tc>
          <w:tcPr>
            <w:tcW w:w="1905" w:type="dxa"/>
            <w:vAlign w:val="center"/>
          </w:tcPr>
          <w:p w:rsidR="00536CC9" w:rsidRDefault="00536CC9" w:rsidP="00541201">
            <w:pPr>
              <w:jc w:val="center"/>
              <w:rPr>
                <w:rFonts w:ascii="Times New Roman" w:hAnsi="Times New Roman" w:cs="Times New Roman"/>
              </w:rPr>
            </w:pPr>
            <w:r>
              <w:rPr>
                <w:rFonts w:ascii="Times New Roman" w:hAnsi="Times New Roman" w:cs="Times New Roman"/>
              </w:rPr>
              <w:t>0</w:t>
            </w:r>
          </w:p>
        </w:tc>
        <w:tc>
          <w:tcPr>
            <w:tcW w:w="2028" w:type="dxa"/>
            <w:vAlign w:val="center"/>
          </w:tcPr>
          <w:p w:rsidR="00536CC9" w:rsidRPr="000F726D" w:rsidRDefault="00536CC9" w:rsidP="00541201">
            <w:pPr>
              <w:jc w:val="center"/>
              <w:rPr>
                <w:rFonts w:ascii="Times New Roman" w:hAnsi="Times New Roman" w:cs="Times New Roman"/>
              </w:rPr>
            </w:pPr>
            <w:r>
              <w:rPr>
                <w:rFonts w:ascii="Times New Roman" w:hAnsi="Times New Roman" w:cs="Times New Roman"/>
              </w:rPr>
              <w:t>0</w:t>
            </w:r>
          </w:p>
        </w:tc>
      </w:tr>
      <w:tr w:rsidR="00962E45" w:rsidRPr="000F726D" w:rsidTr="00962E45">
        <w:trPr>
          <w:trHeight w:val="388"/>
        </w:trPr>
        <w:tc>
          <w:tcPr>
            <w:tcW w:w="959" w:type="dxa"/>
            <w:vAlign w:val="center"/>
          </w:tcPr>
          <w:p w:rsidR="00962E45" w:rsidRPr="00962E45" w:rsidRDefault="00962E45" w:rsidP="00541201">
            <w:pPr>
              <w:jc w:val="center"/>
              <w:rPr>
                <w:rFonts w:ascii="Times New Roman" w:hAnsi="Times New Roman" w:cs="Times New Roman"/>
                <w:b/>
              </w:rPr>
            </w:pPr>
            <w:r w:rsidRPr="00962E45">
              <w:rPr>
                <w:rFonts w:ascii="Times New Roman" w:hAnsi="Times New Roman" w:cs="Times New Roman"/>
                <w:b/>
              </w:rPr>
              <w:t>4.</w:t>
            </w:r>
          </w:p>
        </w:tc>
        <w:tc>
          <w:tcPr>
            <w:tcW w:w="3402" w:type="dxa"/>
            <w:vAlign w:val="center"/>
          </w:tcPr>
          <w:p w:rsidR="00962E45" w:rsidRDefault="00026E38" w:rsidP="000F726D">
            <w:pPr>
              <w:rPr>
                <w:rFonts w:ascii="Times New Roman" w:hAnsi="Times New Roman" w:cs="Times New Roman"/>
              </w:rPr>
            </w:pPr>
            <w:r>
              <w:rPr>
                <w:rFonts w:ascii="Times New Roman" w:hAnsi="Times New Roman" w:cs="Times New Roman"/>
              </w:rPr>
              <w:t xml:space="preserve">Personāla </w:t>
            </w:r>
            <w:r w:rsidR="008E14B7">
              <w:rPr>
                <w:rFonts w:ascii="Times New Roman" w:hAnsi="Times New Roman" w:cs="Times New Roman"/>
              </w:rPr>
              <w:t>konkurētspējas</w:t>
            </w:r>
            <w:r w:rsidR="008144D6">
              <w:rPr>
                <w:rFonts w:ascii="Times New Roman" w:hAnsi="Times New Roman" w:cs="Times New Roman"/>
              </w:rPr>
              <w:t xml:space="preserve"> rādītāji</w:t>
            </w:r>
          </w:p>
        </w:tc>
        <w:tc>
          <w:tcPr>
            <w:tcW w:w="1843" w:type="dxa"/>
            <w:vAlign w:val="center"/>
          </w:tcPr>
          <w:p w:rsidR="00962E45" w:rsidRDefault="00962E45" w:rsidP="00541201">
            <w:pPr>
              <w:jc w:val="center"/>
              <w:rPr>
                <w:rFonts w:ascii="Times New Roman" w:hAnsi="Times New Roman" w:cs="Times New Roman"/>
              </w:rPr>
            </w:pPr>
          </w:p>
        </w:tc>
        <w:tc>
          <w:tcPr>
            <w:tcW w:w="1905" w:type="dxa"/>
            <w:vAlign w:val="center"/>
          </w:tcPr>
          <w:p w:rsidR="00962E45" w:rsidRDefault="00962E45" w:rsidP="00541201">
            <w:pPr>
              <w:jc w:val="center"/>
              <w:rPr>
                <w:rFonts w:ascii="Times New Roman" w:hAnsi="Times New Roman" w:cs="Times New Roman"/>
              </w:rPr>
            </w:pPr>
          </w:p>
        </w:tc>
        <w:tc>
          <w:tcPr>
            <w:tcW w:w="2028" w:type="dxa"/>
            <w:vAlign w:val="center"/>
          </w:tcPr>
          <w:p w:rsidR="00962E45" w:rsidRDefault="00962E45" w:rsidP="00541201">
            <w:pPr>
              <w:jc w:val="center"/>
              <w:rPr>
                <w:rFonts w:ascii="Times New Roman" w:hAnsi="Times New Roman" w:cs="Times New Roman"/>
              </w:rPr>
            </w:pPr>
          </w:p>
        </w:tc>
      </w:tr>
      <w:tr w:rsidR="00962E45" w:rsidRPr="000F726D" w:rsidTr="003A2279">
        <w:tc>
          <w:tcPr>
            <w:tcW w:w="959" w:type="dxa"/>
            <w:vAlign w:val="center"/>
          </w:tcPr>
          <w:p w:rsidR="00962E45" w:rsidRPr="000F726D" w:rsidRDefault="00962E45" w:rsidP="00541201">
            <w:pPr>
              <w:jc w:val="center"/>
              <w:rPr>
                <w:rFonts w:ascii="Times New Roman" w:hAnsi="Times New Roman" w:cs="Times New Roman"/>
              </w:rPr>
            </w:pPr>
          </w:p>
        </w:tc>
        <w:tc>
          <w:tcPr>
            <w:tcW w:w="3402" w:type="dxa"/>
            <w:vAlign w:val="center"/>
          </w:tcPr>
          <w:p w:rsidR="00962E45" w:rsidRDefault="00962E45" w:rsidP="00962E45">
            <w:pPr>
              <w:rPr>
                <w:rFonts w:ascii="Times New Roman" w:hAnsi="Times New Roman" w:cs="Times New Roman"/>
              </w:rPr>
            </w:pPr>
            <w:r>
              <w:rPr>
                <w:rFonts w:ascii="Times New Roman" w:hAnsi="Times New Roman" w:cs="Times New Roman"/>
              </w:rPr>
              <w:t>Vidējā bruto atlīdzība (neieskaitot darba devēja veiktās valsts sociālās apdrošināšanas iemaksas) uz vienu nodarbināto gadā</w:t>
            </w:r>
          </w:p>
        </w:tc>
        <w:tc>
          <w:tcPr>
            <w:tcW w:w="1843" w:type="dxa"/>
            <w:vAlign w:val="center"/>
          </w:tcPr>
          <w:p w:rsidR="00962E45" w:rsidRDefault="008C0763" w:rsidP="00541201">
            <w:pPr>
              <w:jc w:val="center"/>
              <w:rPr>
                <w:rFonts w:ascii="Times New Roman" w:hAnsi="Times New Roman" w:cs="Times New Roman"/>
              </w:rPr>
            </w:pPr>
            <w:r>
              <w:rPr>
                <w:rFonts w:ascii="Times New Roman" w:hAnsi="Times New Roman" w:cs="Times New Roman"/>
              </w:rPr>
              <w:t>7 487</w:t>
            </w:r>
          </w:p>
        </w:tc>
        <w:tc>
          <w:tcPr>
            <w:tcW w:w="1905" w:type="dxa"/>
            <w:vAlign w:val="center"/>
          </w:tcPr>
          <w:p w:rsidR="00962E45" w:rsidRDefault="008C0763" w:rsidP="00541201">
            <w:pPr>
              <w:jc w:val="center"/>
              <w:rPr>
                <w:rFonts w:ascii="Times New Roman" w:hAnsi="Times New Roman" w:cs="Times New Roman"/>
              </w:rPr>
            </w:pPr>
            <w:r>
              <w:rPr>
                <w:rFonts w:ascii="Times New Roman" w:hAnsi="Times New Roman" w:cs="Times New Roman"/>
              </w:rPr>
              <w:t>7 914</w:t>
            </w:r>
          </w:p>
        </w:tc>
        <w:tc>
          <w:tcPr>
            <w:tcW w:w="2028" w:type="dxa"/>
            <w:vAlign w:val="center"/>
          </w:tcPr>
          <w:p w:rsidR="00962E45" w:rsidRDefault="008C0763" w:rsidP="00541201">
            <w:pPr>
              <w:jc w:val="center"/>
              <w:rPr>
                <w:rFonts w:ascii="Times New Roman" w:hAnsi="Times New Roman" w:cs="Times New Roman"/>
              </w:rPr>
            </w:pPr>
            <w:r>
              <w:rPr>
                <w:rFonts w:ascii="Times New Roman" w:hAnsi="Times New Roman" w:cs="Times New Roman"/>
              </w:rPr>
              <w:t>8 061</w:t>
            </w:r>
          </w:p>
        </w:tc>
      </w:tr>
      <w:tr w:rsidR="00962E45" w:rsidRPr="000F726D" w:rsidTr="003A2279">
        <w:tc>
          <w:tcPr>
            <w:tcW w:w="959" w:type="dxa"/>
            <w:vAlign w:val="center"/>
          </w:tcPr>
          <w:p w:rsidR="00962E45" w:rsidRPr="000F726D" w:rsidRDefault="00962E45" w:rsidP="00541201">
            <w:pPr>
              <w:jc w:val="center"/>
              <w:rPr>
                <w:rFonts w:ascii="Times New Roman" w:hAnsi="Times New Roman" w:cs="Times New Roman"/>
              </w:rPr>
            </w:pPr>
          </w:p>
        </w:tc>
        <w:tc>
          <w:tcPr>
            <w:tcW w:w="3402" w:type="dxa"/>
            <w:vAlign w:val="center"/>
          </w:tcPr>
          <w:p w:rsidR="00962E45" w:rsidRDefault="00962E45" w:rsidP="000F726D">
            <w:pPr>
              <w:rPr>
                <w:rFonts w:ascii="Times New Roman" w:hAnsi="Times New Roman" w:cs="Times New Roman"/>
              </w:rPr>
            </w:pPr>
            <w:r>
              <w:rPr>
                <w:rFonts w:ascii="Times New Roman" w:hAnsi="Times New Roman" w:cs="Times New Roman"/>
              </w:rPr>
              <w:t>Neto apgrozījums uz vienu nodarbināto gadā</w:t>
            </w:r>
          </w:p>
        </w:tc>
        <w:tc>
          <w:tcPr>
            <w:tcW w:w="1843" w:type="dxa"/>
            <w:vAlign w:val="center"/>
          </w:tcPr>
          <w:p w:rsidR="00962E45" w:rsidRDefault="00962E45" w:rsidP="00541201">
            <w:pPr>
              <w:jc w:val="center"/>
              <w:rPr>
                <w:rFonts w:ascii="Times New Roman" w:hAnsi="Times New Roman" w:cs="Times New Roman"/>
              </w:rPr>
            </w:pPr>
            <w:r>
              <w:rPr>
                <w:rFonts w:ascii="Times New Roman" w:hAnsi="Times New Roman" w:cs="Times New Roman"/>
              </w:rPr>
              <w:t>16 677</w:t>
            </w:r>
          </w:p>
        </w:tc>
        <w:tc>
          <w:tcPr>
            <w:tcW w:w="1905" w:type="dxa"/>
            <w:vAlign w:val="center"/>
          </w:tcPr>
          <w:p w:rsidR="00962E45" w:rsidRDefault="00962E45" w:rsidP="00541201">
            <w:pPr>
              <w:jc w:val="center"/>
              <w:rPr>
                <w:rFonts w:ascii="Times New Roman" w:hAnsi="Times New Roman" w:cs="Times New Roman"/>
              </w:rPr>
            </w:pPr>
            <w:r>
              <w:rPr>
                <w:rFonts w:ascii="Times New Roman" w:hAnsi="Times New Roman" w:cs="Times New Roman"/>
              </w:rPr>
              <w:t>16 652</w:t>
            </w:r>
          </w:p>
        </w:tc>
        <w:tc>
          <w:tcPr>
            <w:tcW w:w="2028" w:type="dxa"/>
            <w:vAlign w:val="center"/>
          </w:tcPr>
          <w:p w:rsidR="00962E45" w:rsidRDefault="00962E45" w:rsidP="00541201">
            <w:pPr>
              <w:jc w:val="center"/>
              <w:rPr>
                <w:rFonts w:ascii="Times New Roman" w:hAnsi="Times New Roman" w:cs="Times New Roman"/>
              </w:rPr>
            </w:pPr>
            <w:r>
              <w:rPr>
                <w:rFonts w:ascii="Times New Roman" w:hAnsi="Times New Roman" w:cs="Times New Roman"/>
              </w:rPr>
              <w:t>18 207</w:t>
            </w:r>
          </w:p>
        </w:tc>
      </w:tr>
      <w:tr w:rsidR="00536CC9" w:rsidRPr="000F726D" w:rsidTr="003A2279">
        <w:tc>
          <w:tcPr>
            <w:tcW w:w="959" w:type="dxa"/>
            <w:vAlign w:val="center"/>
          </w:tcPr>
          <w:p w:rsidR="00536CC9" w:rsidRPr="000F726D" w:rsidRDefault="00536CC9" w:rsidP="00541201">
            <w:pPr>
              <w:jc w:val="center"/>
              <w:rPr>
                <w:rFonts w:ascii="Times New Roman" w:hAnsi="Times New Roman" w:cs="Times New Roman"/>
              </w:rPr>
            </w:pPr>
          </w:p>
        </w:tc>
        <w:tc>
          <w:tcPr>
            <w:tcW w:w="3402" w:type="dxa"/>
            <w:vAlign w:val="center"/>
          </w:tcPr>
          <w:p w:rsidR="00536CC9" w:rsidRDefault="00962E45" w:rsidP="000F726D">
            <w:pPr>
              <w:rPr>
                <w:rFonts w:ascii="Times New Roman" w:hAnsi="Times New Roman" w:cs="Times New Roman"/>
              </w:rPr>
            </w:pPr>
            <w:r>
              <w:rPr>
                <w:rFonts w:ascii="Times New Roman" w:hAnsi="Times New Roman" w:cs="Times New Roman"/>
              </w:rPr>
              <w:t>Darbinieku skaits</w:t>
            </w:r>
          </w:p>
        </w:tc>
        <w:tc>
          <w:tcPr>
            <w:tcW w:w="1843" w:type="dxa"/>
            <w:vAlign w:val="center"/>
          </w:tcPr>
          <w:p w:rsidR="00536CC9" w:rsidRDefault="00962E45" w:rsidP="00541201">
            <w:pPr>
              <w:jc w:val="center"/>
              <w:rPr>
                <w:rFonts w:ascii="Times New Roman" w:hAnsi="Times New Roman" w:cs="Times New Roman"/>
              </w:rPr>
            </w:pPr>
            <w:r>
              <w:rPr>
                <w:rFonts w:ascii="Times New Roman" w:hAnsi="Times New Roman" w:cs="Times New Roman"/>
              </w:rPr>
              <w:t>151</w:t>
            </w:r>
          </w:p>
        </w:tc>
        <w:tc>
          <w:tcPr>
            <w:tcW w:w="1905" w:type="dxa"/>
            <w:vAlign w:val="center"/>
          </w:tcPr>
          <w:p w:rsidR="00536CC9" w:rsidRDefault="00962E45" w:rsidP="00541201">
            <w:pPr>
              <w:jc w:val="center"/>
              <w:rPr>
                <w:rFonts w:ascii="Times New Roman" w:hAnsi="Times New Roman" w:cs="Times New Roman"/>
              </w:rPr>
            </w:pPr>
            <w:r>
              <w:rPr>
                <w:rFonts w:ascii="Times New Roman" w:hAnsi="Times New Roman" w:cs="Times New Roman"/>
              </w:rPr>
              <w:t>144</w:t>
            </w:r>
          </w:p>
        </w:tc>
        <w:tc>
          <w:tcPr>
            <w:tcW w:w="2028" w:type="dxa"/>
            <w:vAlign w:val="center"/>
          </w:tcPr>
          <w:p w:rsidR="00536CC9" w:rsidRDefault="00962E45" w:rsidP="00962E45">
            <w:pPr>
              <w:jc w:val="center"/>
              <w:rPr>
                <w:rFonts w:ascii="Times New Roman" w:hAnsi="Times New Roman" w:cs="Times New Roman"/>
              </w:rPr>
            </w:pPr>
            <w:r>
              <w:rPr>
                <w:rFonts w:ascii="Times New Roman" w:hAnsi="Times New Roman" w:cs="Times New Roman"/>
              </w:rPr>
              <w:t>146</w:t>
            </w:r>
          </w:p>
        </w:tc>
      </w:tr>
      <w:tr w:rsidR="00536CC9" w:rsidRPr="000F726D" w:rsidTr="003A2279">
        <w:tc>
          <w:tcPr>
            <w:tcW w:w="959" w:type="dxa"/>
            <w:vAlign w:val="center"/>
          </w:tcPr>
          <w:p w:rsidR="00536CC9" w:rsidRPr="00536CC9" w:rsidRDefault="00962E45" w:rsidP="00541201">
            <w:pPr>
              <w:jc w:val="center"/>
              <w:rPr>
                <w:rFonts w:ascii="Times New Roman" w:hAnsi="Times New Roman" w:cs="Times New Roman"/>
                <w:b/>
              </w:rPr>
            </w:pPr>
            <w:r>
              <w:rPr>
                <w:rFonts w:ascii="Times New Roman" w:hAnsi="Times New Roman" w:cs="Times New Roman"/>
                <w:b/>
              </w:rPr>
              <w:t>5</w:t>
            </w:r>
            <w:r w:rsidR="00536CC9" w:rsidRPr="00536CC9">
              <w:rPr>
                <w:rFonts w:ascii="Times New Roman" w:hAnsi="Times New Roman" w:cs="Times New Roman"/>
                <w:b/>
              </w:rPr>
              <w:t>.</w:t>
            </w:r>
          </w:p>
        </w:tc>
        <w:tc>
          <w:tcPr>
            <w:tcW w:w="3402" w:type="dxa"/>
            <w:vAlign w:val="center"/>
          </w:tcPr>
          <w:p w:rsidR="00536CC9" w:rsidRPr="00536CC9" w:rsidRDefault="00536CC9" w:rsidP="000F726D">
            <w:pPr>
              <w:rPr>
                <w:rFonts w:ascii="Times New Roman" w:hAnsi="Times New Roman" w:cs="Times New Roman"/>
                <w:b/>
              </w:rPr>
            </w:pPr>
            <w:r w:rsidRPr="00536CC9">
              <w:rPr>
                <w:rFonts w:ascii="Times New Roman" w:hAnsi="Times New Roman" w:cs="Times New Roman"/>
                <w:b/>
              </w:rPr>
              <w:t>Finanšu rādītāji ( %)</w:t>
            </w:r>
          </w:p>
        </w:tc>
        <w:tc>
          <w:tcPr>
            <w:tcW w:w="1843" w:type="dxa"/>
            <w:vAlign w:val="center"/>
          </w:tcPr>
          <w:p w:rsidR="00536CC9" w:rsidRDefault="001D1FD4" w:rsidP="00541201">
            <w:pPr>
              <w:jc w:val="center"/>
              <w:rPr>
                <w:rFonts w:ascii="Times New Roman" w:hAnsi="Times New Roman" w:cs="Times New Roman"/>
              </w:rPr>
            </w:pPr>
            <w:r>
              <w:rPr>
                <w:rFonts w:ascii="Times New Roman" w:hAnsi="Times New Roman" w:cs="Times New Roman"/>
              </w:rPr>
              <w:t>%</w:t>
            </w:r>
          </w:p>
        </w:tc>
        <w:tc>
          <w:tcPr>
            <w:tcW w:w="1905" w:type="dxa"/>
            <w:vAlign w:val="center"/>
          </w:tcPr>
          <w:p w:rsidR="00536CC9" w:rsidRDefault="001D1FD4" w:rsidP="00541201">
            <w:pPr>
              <w:jc w:val="center"/>
              <w:rPr>
                <w:rFonts w:ascii="Times New Roman" w:hAnsi="Times New Roman" w:cs="Times New Roman"/>
              </w:rPr>
            </w:pPr>
            <w:r>
              <w:rPr>
                <w:rFonts w:ascii="Times New Roman" w:hAnsi="Times New Roman" w:cs="Times New Roman"/>
              </w:rPr>
              <w:t>%</w:t>
            </w:r>
          </w:p>
        </w:tc>
        <w:tc>
          <w:tcPr>
            <w:tcW w:w="2028" w:type="dxa"/>
            <w:vAlign w:val="center"/>
          </w:tcPr>
          <w:p w:rsidR="00536CC9" w:rsidRDefault="001D1FD4" w:rsidP="00541201">
            <w:pPr>
              <w:jc w:val="center"/>
              <w:rPr>
                <w:rFonts w:ascii="Times New Roman" w:hAnsi="Times New Roman" w:cs="Times New Roman"/>
              </w:rPr>
            </w:pPr>
            <w:r>
              <w:rPr>
                <w:rFonts w:ascii="Times New Roman" w:hAnsi="Times New Roman" w:cs="Times New Roman"/>
              </w:rPr>
              <w:t>%</w:t>
            </w:r>
          </w:p>
        </w:tc>
      </w:tr>
      <w:tr w:rsidR="00536CC9" w:rsidRPr="000F726D" w:rsidTr="003A2279">
        <w:tc>
          <w:tcPr>
            <w:tcW w:w="959" w:type="dxa"/>
            <w:vAlign w:val="center"/>
          </w:tcPr>
          <w:p w:rsidR="00536CC9" w:rsidRPr="00536CC9" w:rsidRDefault="00536CC9" w:rsidP="00541201">
            <w:pPr>
              <w:jc w:val="center"/>
              <w:rPr>
                <w:rFonts w:ascii="Times New Roman" w:hAnsi="Times New Roman" w:cs="Times New Roman"/>
                <w:b/>
              </w:rPr>
            </w:pPr>
          </w:p>
        </w:tc>
        <w:tc>
          <w:tcPr>
            <w:tcW w:w="3402" w:type="dxa"/>
            <w:vAlign w:val="center"/>
          </w:tcPr>
          <w:p w:rsidR="00536CC9" w:rsidRPr="00536CC9" w:rsidRDefault="00536CC9" w:rsidP="000F726D">
            <w:pPr>
              <w:rPr>
                <w:rFonts w:ascii="Times New Roman" w:hAnsi="Times New Roman" w:cs="Times New Roman"/>
              </w:rPr>
            </w:pPr>
            <w:r w:rsidRPr="00536CC9">
              <w:rPr>
                <w:rFonts w:ascii="Times New Roman" w:hAnsi="Times New Roman" w:cs="Times New Roman"/>
              </w:rPr>
              <w:t>Pašu kapitāla atdeve (ROE) peļņa/pašu kapitāls</w:t>
            </w:r>
            <w:r w:rsidR="00EF4503">
              <w:rPr>
                <w:rFonts w:ascii="Times New Roman" w:hAnsi="Times New Roman" w:cs="Times New Roman"/>
              </w:rPr>
              <w:t>*100</w:t>
            </w:r>
          </w:p>
        </w:tc>
        <w:tc>
          <w:tcPr>
            <w:tcW w:w="1843" w:type="dxa"/>
            <w:vAlign w:val="center"/>
          </w:tcPr>
          <w:p w:rsidR="00536CC9" w:rsidRDefault="00D7504F" w:rsidP="00541201">
            <w:pPr>
              <w:jc w:val="center"/>
              <w:rPr>
                <w:rFonts w:ascii="Times New Roman" w:hAnsi="Times New Roman" w:cs="Times New Roman"/>
              </w:rPr>
            </w:pPr>
            <w:r>
              <w:rPr>
                <w:rFonts w:ascii="Times New Roman" w:hAnsi="Times New Roman" w:cs="Times New Roman"/>
              </w:rPr>
              <w:t>2.35</w:t>
            </w:r>
          </w:p>
        </w:tc>
        <w:tc>
          <w:tcPr>
            <w:tcW w:w="1905" w:type="dxa"/>
            <w:vAlign w:val="center"/>
          </w:tcPr>
          <w:p w:rsidR="00536CC9" w:rsidRDefault="00D7504F" w:rsidP="00541201">
            <w:pPr>
              <w:jc w:val="center"/>
              <w:rPr>
                <w:rFonts w:ascii="Times New Roman" w:hAnsi="Times New Roman" w:cs="Times New Roman"/>
              </w:rPr>
            </w:pPr>
            <w:r>
              <w:rPr>
                <w:rFonts w:ascii="Times New Roman" w:hAnsi="Times New Roman" w:cs="Times New Roman"/>
              </w:rPr>
              <w:t>15.42</w:t>
            </w:r>
          </w:p>
        </w:tc>
        <w:tc>
          <w:tcPr>
            <w:tcW w:w="2028" w:type="dxa"/>
            <w:vAlign w:val="center"/>
          </w:tcPr>
          <w:p w:rsidR="00536CC9" w:rsidRDefault="00F95770" w:rsidP="00541201">
            <w:pPr>
              <w:jc w:val="center"/>
              <w:rPr>
                <w:rFonts w:ascii="Times New Roman" w:hAnsi="Times New Roman" w:cs="Times New Roman"/>
              </w:rPr>
            </w:pPr>
            <w:r>
              <w:rPr>
                <w:rFonts w:ascii="Times New Roman" w:hAnsi="Times New Roman" w:cs="Times New Roman"/>
              </w:rPr>
              <w:t>0.2</w:t>
            </w:r>
          </w:p>
        </w:tc>
      </w:tr>
      <w:tr w:rsidR="00D7504F" w:rsidRPr="000F726D" w:rsidTr="003A2279">
        <w:tc>
          <w:tcPr>
            <w:tcW w:w="959" w:type="dxa"/>
            <w:vAlign w:val="center"/>
          </w:tcPr>
          <w:p w:rsidR="00D7504F" w:rsidRPr="00536CC9" w:rsidRDefault="00D7504F" w:rsidP="00541201">
            <w:pPr>
              <w:jc w:val="center"/>
              <w:rPr>
                <w:rFonts w:ascii="Times New Roman" w:hAnsi="Times New Roman" w:cs="Times New Roman"/>
                <w:b/>
              </w:rPr>
            </w:pPr>
          </w:p>
        </w:tc>
        <w:tc>
          <w:tcPr>
            <w:tcW w:w="3402" w:type="dxa"/>
            <w:vAlign w:val="center"/>
          </w:tcPr>
          <w:p w:rsidR="00D7504F" w:rsidRPr="00536CC9" w:rsidRDefault="00D7504F" w:rsidP="000F726D">
            <w:pPr>
              <w:rPr>
                <w:rFonts w:ascii="Times New Roman" w:hAnsi="Times New Roman" w:cs="Times New Roman"/>
              </w:rPr>
            </w:pPr>
            <w:r>
              <w:rPr>
                <w:rFonts w:ascii="Times New Roman" w:hAnsi="Times New Roman" w:cs="Times New Roman"/>
              </w:rPr>
              <w:t>Aktīvu atdeve (ROA) peļņa/aktīvi*100</w:t>
            </w:r>
          </w:p>
        </w:tc>
        <w:tc>
          <w:tcPr>
            <w:tcW w:w="1843" w:type="dxa"/>
            <w:vAlign w:val="center"/>
          </w:tcPr>
          <w:p w:rsidR="00D7504F" w:rsidRDefault="00EF4503" w:rsidP="00541201">
            <w:pPr>
              <w:jc w:val="center"/>
              <w:rPr>
                <w:rFonts w:ascii="Times New Roman" w:hAnsi="Times New Roman" w:cs="Times New Roman"/>
              </w:rPr>
            </w:pPr>
            <w:r>
              <w:rPr>
                <w:rFonts w:ascii="Times New Roman" w:hAnsi="Times New Roman" w:cs="Times New Roman"/>
              </w:rPr>
              <w:t>0.29</w:t>
            </w:r>
          </w:p>
        </w:tc>
        <w:tc>
          <w:tcPr>
            <w:tcW w:w="1905" w:type="dxa"/>
            <w:vAlign w:val="center"/>
          </w:tcPr>
          <w:p w:rsidR="00D7504F" w:rsidRDefault="00EF4503" w:rsidP="00541201">
            <w:pPr>
              <w:jc w:val="center"/>
              <w:rPr>
                <w:rFonts w:ascii="Times New Roman" w:hAnsi="Times New Roman" w:cs="Times New Roman"/>
              </w:rPr>
            </w:pPr>
            <w:r>
              <w:rPr>
                <w:rFonts w:ascii="Times New Roman" w:hAnsi="Times New Roman" w:cs="Times New Roman"/>
              </w:rPr>
              <w:t>1.47</w:t>
            </w:r>
          </w:p>
        </w:tc>
        <w:tc>
          <w:tcPr>
            <w:tcW w:w="2028" w:type="dxa"/>
            <w:vAlign w:val="center"/>
          </w:tcPr>
          <w:p w:rsidR="00F95770" w:rsidRDefault="00F95770" w:rsidP="00F95770">
            <w:pPr>
              <w:jc w:val="center"/>
              <w:rPr>
                <w:rFonts w:ascii="Times New Roman" w:hAnsi="Times New Roman" w:cs="Times New Roman"/>
              </w:rPr>
            </w:pPr>
            <w:r>
              <w:rPr>
                <w:rFonts w:ascii="Times New Roman" w:hAnsi="Times New Roman" w:cs="Times New Roman"/>
              </w:rPr>
              <w:t>0.02</w:t>
            </w:r>
          </w:p>
        </w:tc>
      </w:tr>
      <w:tr w:rsidR="00145216" w:rsidRPr="000F726D" w:rsidTr="003A2279">
        <w:tc>
          <w:tcPr>
            <w:tcW w:w="959" w:type="dxa"/>
            <w:vAlign w:val="center"/>
          </w:tcPr>
          <w:p w:rsidR="00145216" w:rsidRPr="00536CC9" w:rsidRDefault="00145216" w:rsidP="00541201">
            <w:pPr>
              <w:jc w:val="center"/>
              <w:rPr>
                <w:rFonts w:ascii="Times New Roman" w:hAnsi="Times New Roman" w:cs="Times New Roman"/>
                <w:b/>
              </w:rPr>
            </w:pPr>
          </w:p>
        </w:tc>
        <w:tc>
          <w:tcPr>
            <w:tcW w:w="3402" w:type="dxa"/>
            <w:vAlign w:val="center"/>
          </w:tcPr>
          <w:p w:rsidR="00145216" w:rsidRDefault="00145216" w:rsidP="000F726D">
            <w:pPr>
              <w:rPr>
                <w:rFonts w:ascii="Times New Roman" w:hAnsi="Times New Roman" w:cs="Times New Roman"/>
              </w:rPr>
            </w:pPr>
            <w:r>
              <w:rPr>
                <w:rFonts w:ascii="Times New Roman" w:hAnsi="Times New Roman" w:cs="Times New Roman"/>
              </w:rPr>
              <w:t>EBITDA rentabilitāte (EBITDA peļņa/apgrozījums)</w:t>
            </w:r>
          </w:p>
        </w:tc>
        <w:tc>
          <w:tcPr>
            <w:tcW w:w="1843" w:type="dxa"/>
            <w:vAlign w:val="center"/>
          </w:tcPr>
          <w:p w:rsidR="00145216" w:rsidRDefault="00145216" w:rsidP="00541201">
            <w:pPr>
              <w:jc w:val="center"/>
              <w:rPr>
                <w:rFonts w:ascii="Times New Roman" w:hAnsi="Times New Roman" w:cs="Times New Roman"/>
              </w:rPr>
            </w:pPr>
            <w:r>
              <w:rPr>
                <w:rFonts w:ascii="Times New Roman" w:hAnsi="Times New Roman" w:cs="Times New Roman"/>
              </w:rPr>
              <w:t>6.23</w:t>
            </w:r>
          </w:p>
        </w:tc>
        <w:tc>
          <w:tcPr>
            <w:tcW w:w="1905" w:type="dxa"/>
            <w:vAlign w:val="center"/>
          </w:tcPr>
          <w:p w:rsidR="00145216" w:rsidRDefault="00145216" w:rsidP="00541201">
            <w:pPr>
              <w:jc w:val="center"/>
              <w:rPr>
                <w:rFonts w:ascii="Times New Roman" w:hAnsi="Times New Roman" w:cs="Times New Roman"/>
              </w:rPr>
            </w:pPr>
            <w:r>
              <w:rPr>
                <w:rFonts w:ascii="Times New Roman" w:hAnsi="Times New Roman" w:cs="Times New Roman"/>
              </w:rPr>
              <w:t>16.41</w:t>
            </w:r>
          </w:p>
        </w:tc>
        <w:tc>
          <w:tcPr>
            <w:tcW w:w="2028" w:type="dxa"/>
            <w:vAlign w:val="center"/>
          </w:tcPr>
          <w:p w:rsidR="00F95770" w:rsidRDefault="00F95770" w:rsidP="00F95770">
            <w:pPr>
              <w:jc w:val="center"/>
              <w:rPr>
                <w:rFonts w:ascii="Times New Roman" w:hAnsi="Times New Roman" w:cs="Times New Roman"/>
              </w:rPr>
            </w:pPr>
            <w:r>
              <w:rPr>
                <w:rFonts w:ascii="Times New Roman" w:hAnsi="Times New Roman" w:cs="Times New Roman"/>
              </w:rPr>
              <w:t>9.55</w:t>
            </w:r>
          </w:p>
        </w:tc>
      </w:tr>
      <w:tr w:rsidR="00145216" w:rsidRPr="000F726D" w:rsidTr="003A2279">
        <w:tc>
          <w:tcPr>
            <w:tcW w:w="959" w:type="dxa"/>
            <w:vAlign w:val="center"/>
          </w:tcPr>
          <w:p w:rsidR="00145216" w:rsidRPr="00536CC9" w:rsidRDefault="00145216" w:rsidP="00541201">
            <w:pPr>
              <w:jc w:val="center"/>
              <w:rPr>
                <w:rFonts w:ascii="Times New Roman" w:hAnsi="Times New Roman" w:cs="Times New Roman"/>
                <w:b/>
              </w:rPr>
            </w:pPr>
          </w:p>
        </w:tc>
        <w:tc>
          <w:tcPr>
            <w:tcW w:w="3402" w:type="dxa"/>
            <w:vAlign w:val="center"/>
          </w:tcPr>
          <w:p w:rsidR="00145216" w:rsidRDefault="00145216" w:rsidP="000F726D">
            <w:pPr>
              <w:rPr>
                <w:rFonts w:ascii="Times New Roman" w:hAnsi="Times New Roman" w:cs="Times New Roman"/>
              </w:rPr>
            </w:pPr>
            <w:r>
              <w:rPr>
                <w:rFonts w:ascii="Times New Roman" w:hAnsi="Times New Roman" w:cs="Times New Roman"/>
              </w:rPr>
              <w:t>Pašu kapitāls/aktīvi</w:t>
            </w:r>
          </w:p>
        </w:tc>
        <w:tc>
          <w:tcPr>
            <w:tcW w:w="1843" w:type="dxa"/>
            <w:vAlign w:val="center"/>
          </w:tcPr>
          <w:p w:rsidR="00145216" w:rsidRDefault="00ED34CF" w:rsidP="00541201">
            <w:pPr>
              <w:jc w:val="center"/>
              <w:rPr>
                <w:rFonts w:ascii="Times New Roman" w:hAnsi="Times New Roman" w:cs="Times New Roman"/>
              </w:rPr>
            </w:pPr>
            <w:r>
              <w:rPr>
                <w:rFonts w:ascii="Times New Roman" w:hAnsi="Times New Roman" w:cs="Times New Roman"/>
              </w:rPr>
              <w:t>12.31</w:t>
            </w:r>
          </w:p>
        </w:tc>
        <w:tc>
          <w:tcPr>
            <w:tcW w:w="1905" w:type="dxa"/>
            <w:vAlign w:val="center"/>
          </w:tcPr>
          <w:p w:rsidR="00145216" w:rsidRDefault="00ED34CF" w:rsidP="00541201">
            <w:pPr>
              <w:jc w:val="center"/>
              <w:rPr>
                <w:rFonts w:ascii="Times New Roman" w:hAnsi="Times New Roman" w:cs="Times New Roman"/>
              </w:rPr>
            </w:pPr>
            <w:r>
              <w:rPr>
                <w:rFonts w:ascii="Times New Roman" w:hAnsi="Times New Roman" w:cs="Times New Roman"/>
              </w:rPr>
              <w:t>9.56</w:t>
            </w:r>
          </w:p>
        </w:tc>
        <w:tc>
          <w:tcPr>
            <w:tcW w:w="2028" w:type="dxa"/>
            <w:vAlign w:val="center"/>
          </w:tcPr>
          <w:p w:rsidR="00145216" w:rsidRDefault="00F95770" w:rsidP="00541201">
            <w:pPr>
              <w:jc w:val="center"/>
              <w:rPr>
                <w:rFonts w:ascii="Times New Roman" w:hAnsi="Times New Roman" w:cs="Times New Roman"/>
              </w:rPr>
            </w:pPr>
            <w:r>
              <w:rPr>
                <w:rFonts w:ascii="Times New Roman" w:hAnsi="Times New Roman" w:cs="Times New Roman"/>
              </w:rPr>
              <w:t>7.84</w:t>
            </w:r>
          </w:p>
        </w:tc>
      </w:tr>
    </w:tbl>
    <w:p w:rsidR="005A70FD" w:rsidRPr="005A70FD" w:rsidRDefault="005A70FD" w:rsidP="005A70FD">
      <w:pPr>
        <w:rPr>
          <w:rFonts w:ascii="Times New Roman" w:hAnsi="Times New Roman" w:cs="Times New Roman"/>
          <w:sz w:val="28"/>
          <w:szCs w:val="28"/>
        </w:rPr>
      </w:pPr>
    </w:p>
    <w:p w:rsidR="005A70FD" w:rsidRDefault="005A70FD" w:rsidP="005A70FD">
      <w:pPr>
        <w:spacing w:after="0"/>
        <w:jc w:val="center"/>
        <w:rPr>
          <w:rFonts w:ascii="Times New Roman" w:hAnsi="Times New Roman" w:cs="Times New Roman"/>
          <w:sz w:val="28"/>
          <w:szCs w:val="28"/>
        </w:rPr>
      </w:pPr>
    </w:p>
    <w:p w:rsidR="00765D99" w:rsidRDefault="00765D99" w:rsidP="005A70FD">
      <w:pPr>
        <w:spacing w:after="0"/>
        <w:jc w:val="center"/>
        <w:rPr>
          <w:rFonts w:ascii="Times New Roman" w:hAnsi="Times New Roman" w:cs="Times New Roman"/>
          <w:sz w:val="28"/>
          <w:szCs w:val="28"/>
        </w:rPr>
      </w:pPr>
    </w:p>
    <w:p w:rsidR="00765D99" w:rsidRDefault="00765D99" w:rsidP="005A70FD">
      <w:pPr>
        <w:spacing w:after="0"/>
        <w:jc w:val="center"/>
        <w:rPr>
          <w:rFonts w:ascii="Times New Roman" w:hAnsi="Times New Roman" w:cs="Times New Roman"/>
          <w:sz w:val="28"/>
          <w:szCs w:val="28"/>
        </w:rPr>
      </w:pPr>
    </w:p>
    <w:p w:rsidR="00765D99" w:rsidRDefault="00765D99" w:rsidP="005A70FD">
      <w:pPr>
        <w:spacing w:after="0"/>
        <w:jc w:val="center"/>
        <w:rPr>
          <w:rFonts w:ascii="Times New Roman" w:hAnsi="Times New Roman" w:cs="Times New Roman"/>
          <w:sz w:val="28"/>
          <w:szCs w:val="28"/>
        </w:rPr>
      </w:pPr>
    </w:p>
    <w:p w:rsidR="00765D99" w:rsidRDefault="00765D99" w:rsidP="005A70FD">
      <w:pPr>
        <w:spacing w:after="0"/>
        <w:jc w:val="center"/>
        <w:rPr>
          <w:rFonts w:ascii="Times New Roman" w:hAnsi="Times New Roman" w:cs="Times New Roman"/>
          <w:sz w:val="28"/>
          <w:szCs w:val="28"/>
        </w:rPr>
      </w:pPr>
    </w:p>
    <w:p w:rsidR="00765D99" w:rsidRDefault="00765D99" w:rsidP="005A70FD">
      <w:pPr>
        <w:spacing w:after="0"/>
        <w:jc w:val="center"/>
        <w:rPr>
          <w:rFonts w:ascii="Times New Roman" w:hAnsi="Times New Roman" w:cs="Times New Roman"/>
          <w:sz w:val="28"/>
          <w:szCs w:val="28"/>
        </w:rPr>
      </w:pPr>
    </w:p>
    <w:p w:rsidR="00765D99" w:rsidRDefault="00765D99" w:rsidP="005A70FD">
      <w:pPr>
        <w:spacing w:after="0"/>
        <w:jc w:val="center"/>
        <w:rPr>
          <w:rFonts w:ascii="Times New Roman" w:hAnsi="Times New Roman" w:cs="Times New Roman"/>
          <w:sz w:val="28"/>
          <w:szCs w:val="28"/>
        </w:rPr>
      </w:pPr>
    </w:p>
    <w:p w:rsidR="00765D99" w:rsidRPr="005A70FD" w:rsidRDefault="00765D99" w:rsidP="005A70FD">
      <w:pPr>
        <w:spacing w:after="0"/>
        <w:jc w:val="center"/>
        <w:rPr>
          <w:rFonts w:ascii="Times New Roman" w:hAnsi="Times New Roman" w:cs="Times New Roman"/>
          <w:sz w:val="28"/>
          <w:szCs w:val="28"/>
        </w:rPr>
      </w:pPr>
    </w:p>
    <w:p w:rsidR="00765D99" w:rsidRDefault="00765D99" w:rsidP="00765D99">
      <w:pPr>
        <w:pStyle w:val="Default"/>
        <w:jc w:val="center"/>
        <w:rPr>
          <w:b/>
          <w:sz w:val="28"/>
          <w:szCs w:val="28"/>
        </w:rPr>
      </w:pPr>
      <w:r w:rsidRPr="0058568C">
        <w:rPr>
          <w:b/>
          <w:sz w:val="28"/>
          <w:szCs w:val="28"/>
        </w:rPr>
        <w:lastRenderedPageBreak/>
        <w:t xml:space="preserve">Kapitālsabiedrības </w:t>
      </w:r>
      <w:r>
        <w:rPr>
          <w:b/>
          <w:sz w:val="28"/>
          <w:szCs w:val="28"/>
        </w:rPr>
        <w:t>ne</w:t>
      </w:r>
      <w:r w:rsidRPr="0058568C">
        <w:rPr>
          <w:b/>
          <w:sz w:val="28"/>
          <w:szCs w:val="28"/>
        </w:rPr>
        <w:t>finanšu mērķi</w:t>
      </w:r>
    </w:p>
    <w:p w:rsidR="00C45D2D" w:rsidRPr="0058568C" w:rsidRDefault="00C45D2D" w:rsidP="00765D99">
      <w:pPr>
        <w:pStyle w:val="Default"/>
        <w:jc w:val="center"/>
        <w:rPr>
          <w:b/>
          <w:sz w:val="28"/>
          <w:szCs w:val="28"/>
        </w:rPr>
      </w:pPr>
    </w:p>
    <w:p w:rsidR="00C45D2D" w:rsidRDefault="00C45D2D" w:rsidP="002B272E">
      <w:pPr>
        <w:spacing w:after="0"/>
        <w:jc w:val="both"/>
        <w:rPr>
          <w:rFonts w:ascii="Times New Roman" w:hAnsi="Times New Roman" w:cs="Times New Roman"/>
        </w:rPr>
      </w:pPr>
      <w:r w:rsidRPr="002B272E">
        <w:rPr>
          <w:rFonts w:ascii="Times New Roman" w:hAnsi="Times New Roman" w:cs="Times New Roman"/>
        </w:rPr>
        <w:t xml:space="preserve">SIA “VALMIERAS NAMSAIMNIEKS” vidēja termiņa </w:t>
      </w:r>
      <w:r w:rsidR="008E14B7" w:rsidRPr="002B272E">
        <w:rPr>
          <w:rFonts w:ascii="Times New Roman" w:hAnsi="Times New Roman" w:cs="Times New Roman"/>
        </w:rPr>
        <w:t>stratēģijā</w:t>
      </w:r>
      <w:r w:rsidRPr="002B272E">
        <w:rPr>
          <w:rFonts w:ascii="Times New Roman" w:hAnsi="Times New Roman" w:cs="Times New Roman"/>
        </w:rPr>
        <w:t xml:space="preserve"> izvirzīto nefinanšu mērķi</w:t>
      </w:r>
      <w:r w:rsidR="002B272E" w:rsidRPr="002B272E">
        <w:rPr>
          <w:rFonts w:ascii="Times New Roman" w:hAnsi="Times New Roman" w:cs="Times New Roman"/>
        </w:rPr>
        <w:t xml:space="preserve"> ir attiecinātu uz Sabiedrības pamatdarbību, kas saistīta ar daudzdzīvokļu dzīvojamo māju pārvaldīšanu, pilsētas administratīvās teritorijas labiekārtošanu un sanitāro tīrību, pakalpojumu kvalitātes nodrošināšanu</w:t>
      </w:r>
      <w:r w:rsidR="002B272E">
        <w:rPr>
          <w:rFonts w:ascii="Times New Roman" w:hAnsi="Times New Roman" w:cs="Times New Roman"/>
        </w:rPr>
        <w:t>.</w:t>
      </w:r>
    </w:p>
    <w:p w:rsidR="002B272E" w:rsidRDefault="002B272E" w:rsidP="002B272E">
      <w:pPr>
        <w:spacing w:after="0"/>
        <w:jc w:val="both"/>
        <w:rPr>
          <w:rFonts w:ascii="Times New Roman" w:hAnsi="Times New Roman" w:cs="Times New Roman"/>
        </w:rPr>
      </w:pPr>
      <w:r>
        <w:rPr>
          <w:rFonts w:ascii="Times New Roman" w:hAnsi="Times New Roman" w:cs="Times New Roman"/>
        </w:rPr>
        <w:t>Stratēģiskie mērķi un rīcības virzieni:</w:t>
      </w:r>
    </w:p>
    <w:p w:rsidR="00D01DD9" w:rsidRDefault="00D01DD9" w:rsidP="002B272E">
      <w:pPr>
        <w:spacing w:after="0"/>
        <w:jc w:val="both"/>
        <w:rPr>
          <w:rFonts w:ascii="Times New Roman" w:hAnsi="Times New Roman" w:cs="Times New Roman"/>
        </w:rPr>
      </w:pPr>
    </w:p>
    <w:p w:rsidR="002B272E" w:rsidRDefault="00973FD6" w:rsidP="00973FD6">
      <w:pPr>
        <w:pStyle w:val="Sarakstarindkopa"/>
        <w:numPr>
          <w:ilvl w:val="0"/>
          <w:numId w:val="2"/>
        </w:numPr>
        <w:spacing w:after="0"/>
        <w:jc w:val="both"/>
        <w:rPr>
          <w:rFonts w:ascii="Times New Roman" w:hAnsi="Times New Roman" w:cs="Times New Roman"/>
        </w:rPr>
      </w:pPr>
      <w:r w:rsidRPr="00973FD6">
        <w:rPr>
          <w:rFonts w:ascii="Times New Roman" w:hAnsi="Times New Roman" w:cs="Times New Roman"/>
        </w:rPr>
        <w:t>Nepārtraukta un kvalitatīva daudzdzīvokļu dzīvojamo māju pārvaldīšana:</w:t>
      </w:r>
    </w:p>
    <w:p w:rsidR="00973FD6" w:rsidRDefault="00973FD6" w:rsidP="00973FD6">
      <w:pPr>
        <w:pStyle w:val="Sarakstarindkopa"/>
        <w:numPr>
          <w:ilvl w:val="1"/>
          <w:numId w:val="2"/>
        </w:numPr>
        <w:spacing w:after="0"/>
        <w:jc w:val="both"/>
        <w:rPr>
          <w:rFonts w:ascii="Times New Roman" w:hAnsi="Times New Roman" w:cs="Times New Roman"/>
        </w:rPr>
      </w:pPr>
      <w:r>
        <w:rPr>
          <w:rFonts w:ascii="Times New Roman" w:hAnsi="Times New Roman" w:cs="Times New Roman"/>
        </w:rPr>
        <w:t xml:space="preserve">iekārtu un komunikāciju (ūdensapgāde un kanalizācija, siltumapgāde, </w:t>
      </w:r>
      <w:r w:rsidR="005031CD">
        <w:rPr>
          <w:rFonts w:ascii="Times New Roman" w:hAnsi="Times New Roman" w:cs="Times New Roman"/>
        </w:rPr>
        <w:t>koplietošanas elektroapgāde</w:t>
      </w:r>
      <w:r>
        <w:rPr>
          <w:rFonts w:ascii="Times New Roman" w:hAnsi="Times New Roman" w:cs="Times New Roman"/>
        </w:rPr>
        <w:t>)</w:t>
      </w:r>
      <w:r w:rsidR="00A77EB4">
        <w:rPr>
          <w:rFonts w:ascii="Times New Roman" w:hAnsi="Times New Roman" w:cs="Times New Roman"/>
        </w:rPr>
        <w:t xml:space="preserve"> pārvaldīšana un </w:t>
      </w:r>
      <w:r>
        <w:rPr>
          <w:rFonts w:ascii="Times New Roman" w:hAnsi="Times New Roman" w:cs="Times New Roman"/>
        </w:rPr>
        <w:t>apsaimniekošana;</w:t>
      </w:r>
    </w:p>
    <w:p w:rsidR="00973FD6" w:rsidRDefault="00973FD6" w:rsidP="00973FD6">
      <w:pPr>
        <w:pStyle w:val="Sarakstarindkopa"/>
        <w:numPr>
          <w:ilvl w:val="1"/>
          <w:numId w:val="2"/>
        </w:numPr>
        <w:spacing w:after="0"/>
        <w:jc w:val="both"/>
        <w:rPr>
          <w:rFonts w:ascii="Times New Roman" w:hAnsi="Times New Roman" w:cs="Times New Roman"/>
        </w:rPr>
      </w:pPr>
      <w:r>
        <w:rPr>
          <w:rFonts w:ascii="Times New Roman" w:hAnsi="Times New Roman" w:cs="Times New Roman"/>
        </w:rPr>
        <w:t>piesaistīto teritoriju pārvaldīšana un sanitārā kopšana;</w:t>
      </w:r>
    </w:p>
    <w:p w:rsidR="00973FD6" w:rsidRDefault="00973FD6" w:rsidP="00973FD6">
      <w:pPr>
        <w:pStyle w:val="Sarakstarindkopa"/>
        <w:numPr>
          <w:ilvl w:val="1"/>
          <w:numId w:val="2"/>
        </w:numPr>
        <w:spacing w:after="0"/>
        <w:jc w:val="both"/>
        <w:rPr>
          <w:rFonts w:ascii="Times New Roman" w:hAnsi="Times New Roman" w:cs="Times New Roman"/>
        </w:rPr>
      </w:pPr>
      <w:r>
        <w:rPr>
          <w:rFonts w:ascii="Times New Roman" w:hAnsi="Times New Roman" w:cs="Times New Roman"/>
        </w:rPr>
        <w:t>ēku vizuālā apsekošana un citu pārvaldīšanas pakalpojumu nodrošināšana.</w:t>
      </w:r>
    </w:p>
    <w:p w:rsidR="00890D02" w:rsidRDefault="00890D02" w:rsidP="00890D02">
      <w:pPr>
        <w:pStyle w:val="Sarakstarindkopa"/>
        <w:spacing w:after="0"/>
        <w:ind w:left="1080"/>
        <w:jc w:val="both"/>
        <w:rPr>
          <w:rFonts w:ascii="Times New Roman" w:hAnsi="Times New Roman" w:cs="Times New Roman"/>
        </w:rPr>
      </w:pPr>
    </w:p>
    <w:p w:rsidR="00973FD6" w:rsidRPr="008F0AAF" w:rsidRDefault="00D413BA" w:rsidP="00973FD6">
      <w:pPr>
        <w:pStyle w:val="Sarakstarindkopa"/>
        <w:numPr>
          <w:ilvl w:val="0"/>
          <w:numId w:val="2"/>
        </w:numPr>
        <w:spacing w:after="0"/>
        <w:jc w:val="both"/>
        <w:rPr>
          <w:rFonts w:ascii="Times New Roman" w:hAnsi="Times New Roman" w:cs="Times New Roman"/>
        </w:rPr>
      </w:pPr>
      <w:r w:rsidRPr="008F0AAF">
        <w:rPr>
          <w:rFonts w:ascii="Times New Roman" w:hAnsi="Times New Roman" w:cs="Times New Roman"/>
        </w:rPr>
        <w:t>Ēku tehniskā uzlabošana un energoefektivitātes pasākumu īstenošana:</w:t>
      </w:r>
    </w:p>
    <w:p w:rsidR="00D413BA" w:rsidRPr="008F0AAF" w:rsidRDefault="00890D02" w:rsidP="00D413BA">
      <w:pPr>
        <w:pStyle w:val="Sarakstarindkopa"/>
        <w:numPr>
          <w:ilvl w:val="1"/>
          <w:numId w:val="2"/>
        </w:numPr>
        <w:spacing w:after="0"/>
        <w:jc w:val="both"/>
        <w:rPr>
          <w:rFonts w:ascii="Times New Roman" w:hAnsi="Times New Roman" w:cs="Times New Roman"/>
        </w:rPr>
      </w:pPr>
      <w:r w:rsidRPr="008F0AAF">
        <w:rPr>
          <w:rFonts w:ascii="Times New Roman" w:hAnsi="Times New Roman" w:cs="Times New Roman"/>
        </w:rPr>
        <w:t>ē</w:t>
      </w:r>
      <w:r w:rsidR="00D413BA" w:rsidRPr="008F0AAF">
        <w:rPr>
          <w:rFonts w:ascii="Times New Roman" w:hAnsi="Times New Roman" w:cs="Times New Roman"/>
        </w:rPr>
        <w:t>ku tehniskā uzlabošana;</w:t>
      </w:r>
    </w:p>
    <w:p w:rsidR="00D413BA" w:rsidRPr="008F0AAF" w:rsidRDefault="00890D02" w:rsidP="00D413BA">
      <w:pPr>
        <w:pStyle w:val="Sarakstarindkopa"/>
        <w:numPr>
          <w:ilvl w:val="1"/>
          <w:numId w:val="2"/>
        </w:numPr>
        <w:spacing w:after="0"/>
        <w:jc w:val="both"/>
        <w:rPr>
          <w:rFonts w:ascii="Times New Roman" w:hAnsi="Times New Roman" w:cs="Times New Roman"/>
        </w:rPr>
      </w:pPr>
      <w:r w:rsidRPr="008F0AAF">
        <w:rPr>
          <w:rFonts w:ascii="Times New Roman" w:hAnsi="Times New Roman" w:cs="Times New Roman"/>
        </w:rPr>
        <w:t>ē</w:t>
      </w:r>
      <w:r w:rsidR="00D413BA" w:rsidRPr="008F0AAF">
        <w:rPr>
          <w:rFonts w:ascii="Times New Roman" w:hAnsi="Times New Roman" w:cs="Times New Roman"/>
        </w:rPr>
        <w:t>ku energoefektivitātes pasākumu īstenošana;</w:t>
      </w:r>
    </w:p>
    <w:p w:rsidR="00D413BA" w:rsidRPr="008F0AAF" w:rsidRDefault="00890D02" w:rsidP="00D413BA">
      <w:pPr>
        <w:pStyle w:val="Sarakstarindkopa"/>
        <w:numPr>
          <w:ilvl w:val="1"/>
          <w:numId w:val="2"/>
        </w:numPr>
        <w:spacing w:after="0"/>
        <w:jc w:val="both"/>
        <w:rPr>
          <w:rFonts w:ascii="Times New Roman" w:hAnsi="Times New Roman" w:cs="Times New Roman"/>
        </w:rPr>
      </w:pPr>
      <w:r w:rsidRPr="008F0AAF">
        <w:rPr>
          <w:rFonts w:ascii="Times New Roman" w:hAnsi="Times New Roman" w:cs="Times New Roman"/>
        </w:rPr>
        <w:t>p</w:t>
      </w:r>
      <w:r w:rsidR="00D413BA" w:rsidRPr="008F0AAF">
        <w:rPr>
          <w:rFonts w:ascii="Times New Roman" w:hAnsi="Times New Roman" w:cs="Times New Roman"/>
        </w:rPr>
        <w:t xml:space="preserve">iesaistīto </w:t>
      </w:r>
      <w:r w:rsidRPr="008F0AAF">
        <w:rPr>
          <w:rFonts w:ascii="Times New Roman" w:hAnsi="Times New Roman" w:cs="Times New Roman"/>
        </w:rPr>
        <w:t>teritoriju labiekārtošana.</w:t>
      </w:r>
    </w:p>
    <w:p w:rsidR="00890D02" w:rsidRPr="008F0AAF" w:rsidRDefault="00890D02" w:rsidP="00890D02">
      <w:pPr>
        <w:pStyle w:val="Sarakstarindkopa"/>
        <w:spacing w:after="0"/>
        <w:ind w:left="1080"/>
        <w:jc w:val="both"/>
        <w:rPr>
          <w:rFonts w:ascii="Times New Roman" w:hAnsi="Times New Roman" w:cs="Times New Roman"/>
        </w:rPr>
      </w:pPr>
    </w:p>
    <w:p w:rsidR="00890D02" w:rsidRPr="008F0AAF" w:rsidRDefault="00890D02" w:rsidP="00890D02">
      <w:pPr>
        <w:pStyle w:val="Sarakstarindkopa"/>
        <w:numPr>
          <w:ilvl w:val="0"/>
          <w:numId w:val="2"/>
        </w:numPr>
        <w:spacing w:after="0"/>
        <w:jc w:val="both"/>
        <w:rPr>
          <w:rFonts w:ascii="Times New Roman" w:hAnsi="Times New Roman" w:cs="Times New Roman"/>
        </w:rPr>
      </w:pPr>
      <w:r w:rsidRPr="008F0AAF">
        <w:rPr>
          <w:rFonts w:ascii="Times New Roman" w:hAnsi="Times New Roman" w:cs="Times New Roman"/>
        </w:rPr>
        <w:t>Klientu apkalpošanas kvalitātes un komunikācijas uzlabošana:</w:t>
      </w:r>
    </w:p>
    <w:p w:rsidR="00890D02" w:rsidRPr="008F0AAF" w:rsidRDefault="00890D02" w:rsidP="00890D02">
      <w:pPr>
        <w:pStyle w:val="Sarakstarindkopa"/>
        <w:numPr>
          <w:ilvl w:val="1"/>
          <w:numId w:val="2"/>
        </w:numPr>
        <w:spacing w:after="0"/>
        <w:jc w:val="both"/>
        <w:rPr>
          <w:rFonts w:ascii="Times New Roman" w:hAnsi="Times New Roman" w:cs="Times New Roman"/>
        </w:rPr>
      </w:pPr>
      <w:r w:rsidRPr="008F0AAF">
        <w:rPr>
          <w:rFonts w:ascii="Times New Roman" w:hAnsi="Times New Roman" w:cs="Times New Roman"/>
        </w:rPr>
        <w:t>Klientu apkalpošanas uzlabošana;</w:t>
      </w:r>
    </w:p>
    <w:p w:rsidR="00890D02" w:rsidRPr="008F0AAF" w:rsidRDefault="00890D02" w:rsidP="00890D02">
      <w:pPr>
        <w:pStyle w:val="Sarakstarindkopa"/>
        <w:numPr>
          <w:ilvl w:val="1"/>
          <w:numId w:val="2"/>
        </w:numPr>
        <w:spacing w:after="0"/>
        <w:jc w:val="both"/>
        <w:rPr>
          <w:rFonts w:ascii="Times New Roman" w:hAnsi="Times New Roman" w:cs="Times New Roman"/>
        </w:rPr>
      </w:pPr>
      <w:r w:rsidRPr="008F0AAF">
        <w:rPr>
          <w:rFonts w:ascii="Times New Roman" w:hAnsi="Times New Roman" w:cs="Times New Roman"/>
        </w:rPr>
        <w:t>Izglītojošo un informatīvo pasākumu rīkošana</w:t>
      </w:r>
      <w:r w:rsidR="008F0AAF" w:rsidRPr="008F0AAF">
        <w:rPr>
          <w:rFonts w:ascii="Times New Roman" w:hAnsi="Times New Roman" w:cs="Times New Roman"/>
        </w:rPr>
        <w:t>;</w:t>
      </w:r>
    </w:p>
    <w:p w:rsidR="008F0AAF" w:rsidRPr="008F0AAF" w:rsidRDefault="008F0AAF" w:rsidP="00890D02">
      <w:pPr>
        <w:pStyle w:val="Sarakstarindkopa"/>
        <w:numPr>
          <w:ilvl w:val="1"/>
          <w:numId w:val="2"/>
        </w:numPr>
        <w:spacing w:after="0"/>
        <w:jc w:val="both"/>
        <w:rPr>
          <w:rFonts w:ascii="Times New Roman" w:hAnsi="Times New Roman" w:cs="Times New Roman"/>
        </w:rPr>
      </w:pPr>
      <w:r w:rsidRPr="008F0AAF">
        <w:rPr>
          <w:rFonts w:ascii="Times New Roman" w:hAnsi="Times New Roman" w:cs="Times New Roman"/>
        </w:rPr>
        <w:t>Informācijas tehnoloģiju risinājumu izstrāde klientu apkalpošanas uzlabošanai.</w:t>
      </w:r>
    </w:p>
    <w:p w:rsidR="008F0AAF" w:rsidRPr="008F0AAF" w:rsidRDefault="008F0AAF" w:rsidP="008F0AAF">
      <w:pPr>
        <w:pStyle w:val="Sarakstarindkopa"/>
        <w:spacing w:after="0"/>
        <w:ind w:left="1080"/>
        <w:jc w:val="both"/>
        <w:rPr>
          <w:rFonts w:ascii="Times New Roman" w:hAnsi="Times New Roman" w:cs="Times New Roman"/>
        </w:rPr>
      </w:pPr>
    </w:p>
    <w:p w:rsidR="008F0AAF" w:rsidRPr="008F0AAF" w:rsidRDefault="008F0AAF" w:rsidP="008F0AAF">
      <w:pPr>
        <w:pStyle w:val="Sarakstarindkopa"/>
        <w:numPr>
          <w:ilvl w:val="0"/>
          <w:numId w:val="2"/>
        </w:numPr>
        <w:spacing w:after="0"/>
        <w:jc w:val="both"/>
        <w:rPr>
          <w:rFonts w:ascii="Times New Roman" w:hAnsi="Times New Roman" w:cs="Times New Roman"/>
        </w:rPr>
      </w:pPr>
      <w:r w:rsidRPr="008F0AAF">
        <w:rPr>
          <w:rFonts w:ascii="Times New Roman" w:hAnsi="Times New Roman" w:cs="Times New Roman"/>
        </w:rPr>
        <w:t>Valmieras pilsētas administratīvās teritorijas uzturēšana, labiekārtošana un sanitārā uzkopšana</w:t>
      </w:r>
      <w:r w:rsidR="00A3748A">
        <w:rPr>
          <w:rFonts w:ascii="Times New Roman" w:hAnsi="Times New Roman" w:cs="Times New Roman"/>
        </w:rPr>
        <w:t>, dzīvnieku patversmes uzturēšana</w:t>
      </w:r>
      <w:r w:rsidRPr="008F0AAF">
        <w:rPr>
          <w:rFonts w:ascii="Times New Roman" w:hAnsi="Times New Roman" w:cs="Times New Roman"/>
        </w:rPr>
        <w:t>:</w:t>
      </w:r>
    </w:p>
    <w:p w:rsidR="008F0AAF" w:rsidRDefault="00A3748A" w:rsidP="008F0AAF">
      <w:pPr>
        <w:pStyle w:val="Sarakstarindkopa"/>
        <w:numPr>
          <w:ilvl w:val="1"/>
          <w:numId w:val="2"/>
        </w:numPr>
        <w:spacing w:after="0"/>
        <w:jc w:val="both"/>
        <w:rPr>
          <w:rFonts w:ascii="Times New Roman" w:hAnsi="Times New Roman" w:cs="Times New Roman"/>
        </w:rPr>
      </w:pPr>
      <w:r>
        <w:rPr>
          <w:rFonts w:ascii="Times New Roman" w:hAnsi="Times New Roman" w:cs="Times New Roman"/>
        </w:rPr>
        <w:t>parku, skvēru, ietvju, publiskā lietošanā esošo teritoriju un zaļo zonu uzturēšana un sakopšana;</w:t>
      </w:r>
    </w:p>
    <w:p w:rsidR="00A3748A" w:rsidRDefault="00A3748A" w:rsidP="008F0AAF">
      <w:pPr>
        <w:pStyle w:val="Sarakstarindkopa"/>
        <w:numPr>
          <w:ilvl w:val="1"/>
          <w:numId w:val="2"/>
        </w:numPr>
        <w:spacing w:after="0"/>
        <w:jc w:val="both"/>
        <w:rPr>
          <w:rFonts w:ascii="Times New Roman" w:hAnsi="Times New Roman" w:cs="Times New Roman"/>
        </w:rPr>
      </w:pPr>
      <w:r>
        <w:rPr>
          <w:rFonts w:ascii="Times New Roman" w:hAnsi="Times New Roman" w:cs="Times New Roman"/>
        </w:rPr>
        <w:t>Valmieras pilsētas pašvaldībai piederošo kapsētu uzturēšana;</w:t>
      </w:r>
    </w:p>
    <w:p w:rsidR="00A3748A" w:rsidRDefault="00A3748A" w:rsidP="008F0AAF">
      <w:pPr>
        <w:pStyle w:val="Sarakstarindkopa"/>
        <w:numPr>
          <w:ilvl w:val="1"/>
          <w:numId w:val="2"/>
        </w:numPr>
        <w:spacing w:after="0"/>
        <w:jc w:val="both"/>
        <w:rPr>
          <w:rFonts w:ascii="Times New Roman" w:hAnsi="Times New Roman" w:cs="Times New Roman"/>
        </w:rPr>
      </w:pPr>
      <w:r>
        <w:rPr>
          <w:rFonts w:ascii="Times New Roman" w:hAnsi="Times New Roman" w:cs="Times New Roman"/>
        </w:rPr>
        <w:t>Sabiedrisko tualešu un pārvietojamo biotualešu publiskās vietās uzturēšana;</w:t>
      </w:r>
    </w:p>
    <w:p w:rsidR="00A3748A" w:rsidRDefault="00A3748A" w:rsidP="008F0AAF">
      <w:pPr>
        <w:pStyle w:val="Sarakstarindkopa"/>
        <w:numPr>
          <w:ilvl w:val="1"/>
          <w:numId w:val="2"/>
        </w:numPr>
        <w:spacing w:after="0"/>
        <w:jc w:val="both"/>
        <w:rPr>
          <w:rFonts w:ascii="Times New Roman" w:hAnsi="Times New Roman" w:cs="Times New Roman"/>
        </w:rPr>
      </w:pPr>
      <w:r>
        <w:rPr>
          <w:rFonts w:ascii="Times New Roman" w:hAnsi="Times New Roman" w:cs="Times New Roman"/>
        </w:rPr>
        <w:t>Valmieras pilsētas ielu mehanizēta uzturēš</w:t>
      </w:r>
      <w:r w:rsidR="00091B7B">
        <w:rPr>
          <w:rFonts w:ascii="Times New Roman" w:hAnsi="Times New Roman" w:cs="Times New Roman"/>
        </w:rPr>
        <w:t>a</w:t>
      </w:r>
      <w:r>
        <w:rPr>
          <w:rFonts w:ascii="Times New Roman" w:hAnsi="Times New Roman" w:cs="Times New Roman"/>
        </w:rPr>
        <w:t>na, ielu seguma remontdarbu veikšana, satiksmes drošības pasākumu nodrošināšana;</w:t>
      </w:r>
    </w:p>
    <w:p w:rsidR="00A3748A" w:rsidRDefault="00A3748A" w:rsidP="008F0AAF">
      <w:pPr>
        <w:pStyle w:val="Sarakstarindkopa"/>
        <w:numPr>
          <w:ilvl w:val="1"/>
          <w:numId w:val="2"/>
        </w:numPr>
        <w:spacing w:after="0"/>
        <w:jc w:val="both"/>
        <w:rPr>
          <w:rFonts w:ascii="Times New Roman" w:hAnsi="Times New Roman" w:cs="Times New Roman"/>
        </w:rPr>
      </w:pPr>
      <w:r>
        <w:rPr>
          <w:rFonts w:ascii="Times New Roman" w:hAnsi="Times New Roman" w:cs="Times New Roman"/>
        </w:rPr>
        <w:t>klaiņojošo dzīvnieku patversmes uzturēšana.</w:t>
      </w:r>
    </w:p>
    <w:p w:rsidR="00D01DD9" w:rsidRDefault="00D01DD9" w:rsidP="00D01DD9">
      <w:pPr>
        <w:pStyle w:val="Sarakstarindkopa"/>
        <w:spacing w:after="0"/>
        <w:ind w:left="1080"/>
        <w:jc w:val="both"/>
        <w:rPr>
          <w:rFonts w:ascii="Times New Roman" w:hAnsi="Times New Roman" w:cs="Times New Roman"/>
        </w:rPr>
      </w:pPr>
    </w:p>
    <w:p w:rsidR="00D01DD9" w:rsidRDefault="00D01DD9" w:rsidP="00D01DD9">
      <w:pPr>
        <w:pStyle w:val="Sarakstarindkopa"/>
        <w:numPr>
          <w:ilvl w:val="0"/>
          <w:numId w:val="2"/>
        </w:numPr>
        <w:spacing w:after="0"/>
        <w:jc w:val="both"/>
        <w:rPr>
          <w:rFonts w:ascii="Times New Roman" w:hAnsi="Times New Roman" w:cs="Times New Roman"/>
        </w:rPr>
      </w:pPr>
      <w:r>
        <w:rPr>
          <w:rFonts w:ascii="Times New Roman" w:hAnsi="Times New Roman" w:cs="Times New Roman"/>
        </w:rPr>
        <w:t xml:space="preserve">Uzņēmuma konkurētspējas nodrošināšana, mūsdienīgu pārvaldības principu </w:t>
      </w:r>
      <w:r w:rsidR="008E14B7">
        <w:rPr>
          <w:rFonts w:ascii="Times New Roman" w:hAnsi="Times New Roman" w:cs="Times New Roman"/>
        </w:rPr>
        <w:t>piemērošana, personāla</w:t>
      </w:r>
      <w:r>
        <w:rPr>
          <w:rFonts w:ascii="Times New Roman" w:hAnsi="Times New Roman" w:cs="Times New Roman"/>
        </w:rPr>
        <w:t xml:space="preserve"> </w:t>
      </w:r>
      <w:r w:rsidR="008E14B7">
        <w:rPr>
          <w:rFonts w:ascii="Times New Roman" w:hAnsi="Times New Roman" w:cs="Times New Roman"/>
        </w:rPr>
        <w:t>profesionālās</w:t>
      </w:r>
      <w:r>
        <w:rPr>
          <w:rFonts w:ascii="Times New Roman" w:hAnsi="Times New Roman" w:cs="Times New Roman"/>
        </w:rPr>
        <w:t xml:space="preserve"> pieredze paaugstināšana:</w:t>
      </w:r>
    </w:p>
    <w:p w:rsidR="00D01DD9" w:rsidRDefault="00D01DD9" w:rsidP="00D01DD9">
      <w:pPr>
        <w:pStyle w:val="Sarakstarindkopa"/>
        <w:numPr>
          <w:ilvl w:val="1"/>
          <w:numId w:val="2"/>
        </w:numPr>
        <w:spacing w:after="0"/>
        <w:jc w:val="both"/>
        <w:rPr>
          <w:rFonts w:ascii="Times New Roman" w:hAnsi="Times New Roman" w:cs="Times New Roman"/>
        </w:rPr>
      </w:pPr>
      <w:r>
        <w:rPr>
          <w:rFonts w:ascii="Times New Roman" w:hAnsi="Times New Roman" w:cs="Times New Roman"/>
        </w:rPr>
        <w:t xml:space="preserve"> uzņēmuma darba organizēšanas pilnveidošana;</w:t>
      </w:r>
    </w:p>
    <w:p w:rsidR="00D01DD9" w:rsidRDefault="00D01DD9" w:rsidP="00D01DD9">
      <w:pPr>
        <w:pStyle w:val="Sarakstarindkopa"/>
        <w:numPr>
          <w:ilvl w:val="1"/>
          <w:numId w:val="2"/>
        </w:numPr>
        <w:spacing w:after="0"/>
        <w:jc w:val="both"/>
        <w:rPr>
          <w:rFonts w:ascii="Times New Roman" w:hAnsi="Times New Roman" w:cs="Times New Roman"/>
        </w:rPr>
      </w:pPr>
      <w:r>
        <w:rPr>
          <w:rFonts w:ascii="Times New Roman" w:hAnsi="Times New Roman" w:cs="Times New Roman"/>
        </w:rPr>
        <w:t xml:space="preserve"> materiāli tehniskās bāzes un infrastruktūras uzlabošana;</w:t>
      </w:r>
    </w:p>
    <w:p w:rsidR="00D01DD9" w:rsidRDefault="00D01DD9" w:rsidP="00D01DD9">
      <w:pPr>
        <w:pStyle w:val="Sarakstarindkopa"/>
        <w:numPr>
          <w:ilvl w:val="1"/>
          <w:numId w:val="2"/>
        </w:numPr>
        <w:spacing w:after="0"/>
        <w:jc w:val="both"/>
        <w:rPr>
          <w:rFonts w:ascii="Times New Roman" w:hAnsi="Times New Roman" w:cs="Times New Roman"/>
        </w:rPr>
      </w:pPr>
      <w:r>
        <w:rPr>
          <w:rFonts w:ascii="Times New Roman" w:hAnsi="Times New Roman" w:cs="Times New Roman"/>
        </w:rPr>
        <w:t xml:space="preserve"> informācijas tehnoloģiju risinājumu pilnveidošana saimnieciskās darbības uzlabošanai;</w:t>
      </w:r>
    </w:p>
    <w:p w:rsidR="00D01DD9" w:rsidRPr="00D01DD9" w:rsidRDefault="00D01DD9" w:rsidP="00D01DD9">
      <w:pPr>
        <w:pStyle w:val="Sarakstarindkopa"/>
        <w:numPr>
          <w:ilvl w:val="1"/>
          <w:numId w:val="2"/>
        </w:numPr>
        <w:spacing w:after="0"/>
        <w:jc w:val="both"/>
        <w:rPr>
          <w:rFonts w:ascii="Times New Roman" w:hAnsi="Times New Roman" w:cs="Times New Roman"/>
        </w:rPr>
      </w:pPr>
      <w:r>
        <w:rPr>
          <w:rFonts w:ascii="Times New Roman" w:hAnsi="Times New Roman" w:cs="Times New Roman"/>
        </w:rPr>
        <w:t xml:space="preserve"> personāla profesionālo </w:t>
      </w:r>
      <w:r w:rsidR="008E14B7">
        <w:rPr>
          <w:rFonts w:ascii="Times New Roman" w:hAnsi="Times New Roman" w:cs="Times New Roman"/>
        </w:rPr>
        <w:t>zināšanu</w:t>
      </w:r>
      <w:r>
        <w:rPr>
          <w:rFonts w:ascii="Times New Roman" w:hAnsi="Times New Roman" w:cs="Times New Roman"/>
        </w:rPr>
        <w:t xml:space="preserve"> un prasmju pilnveidošana.</w:t>
      </w:r>
    </w:p>
    <w:p w:rsidR="008F0AAF" w:rsidRPr="008F0AAF" w:rsidRDefault="008F0AAF" w:rsidP="008F0AAF">
      <w:pPr>
        <w:spacing w:after="0"/>
        <w:jc w:val="both"/>
        <w:rPr>
          <w:rFonts w:ascii="Times New Roman" w:hAnsi="Times New Roman" w:cs="Times New Roman"/>
        </w:rPr>
      </w:pPr>
    </w:p>
    <w:p w:rsidR="008F0AAF" w:rsidRPr="008F0AAF" w:rsidRDefault="008F0AAF" w:rsidP="008F0AAF">
      <w:pPr>
        <w:pStyle w:val="Sarakstarindkopa"/>
        <w:spacing w:after="0"/>
        <w:ind w:left="1080"/>
        <w:jc w:val="both"/>
        <w:rPr>
          <w:rFonts w:ascii="Times New Roman" w:hAnsi="Times New Roman" w:cs="Times New Roman"/>
        </w:rPr>
      </w:pPr>
    </w:p>
    <w:p w:rsidR="00890D02" w:rsidRPr="008F0AAF" w:rsidRDefault="00890D02" w:rsidP="00890D02">
      <w:pPr>
        <w:pStyle w:val="Sarakstarindkopa"/>
        <w:spacing w:after="0"/>
        <w:ind w:left="1080"/>
        <w:jc w:val="both"/>
        <w:rPr>
          <w:rFonts w:ascii="Times New Roman" w:hAnsi="Times New Roman" w:cs="Times New Roman"/>
        </w:rPr>
      </w:pPr>
    </w:p>
    <w:p w:rsidR="00973FD6" w:rsidRPr="008F0AAF" w:rsidRDefault="00973FD6" w:rsidP="00973FD6">
      <w:pPr>
        <w:pStyle w:val="Sarakstarindkopa"/>
        <w:spacing w:after="0"/>
        <w:ind w:left="1080"/>
        <w:jc w:val="both"/>
        <w:rPr>
          <w:rFonts w:ascii="Times New Roman" w:hAnsi="Times New Roman" w:cs="Times New Roman"/>
        </w:rPr>
      </w:pPr>
    </w:p>
    <w:p w:rsidR="00973FD6" w:rsidRPr="008F0AAF" w:rsidRDefault="00973FD6" w:rsidP="00973FD6">
      <w:pPr>
        <w:pStyle w:val="Sarakstarindkopa"/>
        <w:spacing w:after="0"/>
        <w:ind w:left="1080"/>
        <w:jc w:val="both"/>
        <w:rPr>
          <w:rFonts w:ascii="Times New Roman" w:hAnsi="Times New Roman" w:cs="Times New Roman"/>
        </w:rPr>
      </w:pPr>
    </w:p>
    <w:p w:rsidR="00973FD6" w:rsidRPr="008F0AAF" w:rsidRDefault="00973FD6" w:rsidP="00973FD6">
      <w:pPr>
        <w:pStyle w:val="Sarakstarindkopa"/>
        <w:spacing w:after="0"/>
        <w:ind w:left="1080"/>
        <w:jc w:val="both"/>
        <w:rPr>
          <w:rFonts w:ascii="Times New Roman" w:hAnsi="Times New Roman" w:cs="Times New Roman"/>
        </w:rPr>
      </w:pPr>
    </w:p>
    <w:p w:rsidR="00973FD6" w:rsidRPr="008F0AAF" w:rsidRDefault="00973FD6" w:rsidP="00973FD6">
      <w:pPr>
        <w:pStyle w:val="Sarakstarindkopa"/>
        <w:spacing w:after="0"/>
        <w:ind w:left="1080"/>
        <w:jc w:val="both"/>
        <w:rPr>
          <w:rFonts w:ascii="Times New Roman" w:hAnsi="Times New Roman" w:cs="Times New Roman"/>
        </w:rPr>
      </w:pPr>
    </w:p>
    <w:p w:rsidR="005A70FD" w:rsidRDefault="005A70FD" w:rsidP="002B272E">
      <w:pPr>
        <w:jc w:val="both"/>
        <w:rPr>
          <w:rFonts w:ascii="Times New Roman" w:hAnsi="Times New Roman" w:cs="Times New Roman"/>
        </w:rPr>
      </w:pPr>
    </w:p>
    <w:p w:rsidR="00D01DD9" w:rsidRDefault="00D01DD9" w:rsidP="002B272E">
      <w:pPr>
        <w:jc w:val="both"/>
        <w:rPr>
          <w:rFonts w:ascii="Times New Roman" w:hAnsi="Times New Roman" w:cs="Times New Roman"/>
        </w:rPr>
      </w:pPr>
    </w:p>
    <w:p w:rsidR="00D01DD9" w:rsidRDefault="00D01DD9" w:rsidP="002B272E">
      <w:pPr>
        <w:jc w:val="both"/>
        <w:rPr>
          <w:rFonts w:ascii="Times New Roman" w:hAnsi="Times New Roman" w:cs="Times New Roman"/>
        </w:rPr>
      </w:pPr>
    </w:p>
    <w:p w:rsidR="00D01DD9" w:rsidRDefault="00D01DD9" w:rsidP="002B272E">
      <w:pPr>
        <w:jc w:val="both"/>
        <w:rPr>
          <w:rFonts w:ascii="Times New Roman" w:hAnsi="Times New Roman" w:cs="Times New Roman"/>
        </w:rPr>
      </w:pPr>
    </w:p>
    <w:p w:rsidR="00D01DD9" w:rsidRDefault="00D01DD9" w:rsidP="002B272E">
      <w:pPr>
        <w:jc w:val="both"/>
        <w:rPr>
          <w:rFonts w:ascii="Times New Roman" w:hAnsi="Times New Roman" w:cs="Times New Roman"/>
        </w:rPr>
      </w:pPr>
    </w:p>
    <w:p w:rsidR="00D01DD9" w:rsidRPr="008F0AAF" w:rsidRDefault="00D01DD9" w:rsidP="002B272E">
      <w:pPr>
        <w:jc w:val="both"/>
        <w:rPr>
          <w:rFonts w:ascii="Times New Roman" w:hAnsi="Times New Roman" w:cs="Times New Roman"/>
        </w:rPr>
      </w:pPr>
    </w:p>
    <w:p w:rsidR="00D01DD9" w:rsidRPr="00536CC9" w:rsidRDefault="00D01DD9" w:rsidP="00D01DD9">
      <w:pPr>
        <w:spacing w:after="0"/>
        <w:jc w:val="center"/>
        <w:rPr>
          <w:rFonts w:ascii="Times New Roman" w:hAnsi="Times New Roman" w:cs="Times New Roman"/>
          <w:b/>
          <w:sz w:val="24"/>
          <w:szCs w:val="24"/>
        </w:rPr>
      </w:pPr>
      <w:r w:rsidRPr="00536CC9">
        <w:rPr>
          <w:rFonts w:ascii="Times New Roman" w:hAnsi="Times New Roman" w:cs="Times New Roman"/>
          <w:b/>
          <w:sz w:val="24"/>
          <w:szCs w:val="24"/>
        </w:rPr>
        <w:lastRenderedPageBreak/>
        <w:t>SIA “VALMIERAS NAMSAIMNIEKS”</w:t>
      </w:r>
    </w:p>
    <w:p w:rsidR="00D01DD9" w:rsidRDefault="00D01DD9" w:rsidP="00D01DD9">
      <w:pPr>
        <w:spacing w:after="0"/>
        <w:jc w:val="center"/>
        <w:rPr>
          <w:rFonts w:ascii="Times New Roman" w:hAnsi="Times New Roman" w:cs="Times New Roman"/>
          <w:b/>
          <w:sz w:val="24"/>
          <w:szCs w:val="24"/>
        </w:rPr>
      </w:pPr>
      <w:r w:rsidRPr="00536CC9">
        <w:rPr>
          <w:rFonts w:ascii="Times New Roman" w:hAnsi="Times New Roman" w:cs="Times New Roman"/>
          <w:b/>
          <w:sz w:val="24"/>
          <w:szCs w:val="24"/>
        </w:rPr>
        <w:t xml:space="preserve">Vidēja termiņa </w:t>
      </w:r>
      <w:r w:rsidR="008E14B7" w:rsidRPr="00536CC9">
        <w:rPr>
          <w:rFonts w:ascii="Times New Roman" w:hAnsi="Times New Roman" w:cs="Times New Roman"/>
          <w:b/>
          <w:sz w:val="24"/>
          <w:szCs w:val="24"/>
        </w:rPr>
        <w:t>stratēģijā</w:t>
      </w:r>
      <w:r w:rsidRPr="00536CC9">
        <w:rPr>
          <w:rFonts w:ascii="Times New Roman" w:hAnsi="Times New Roman" w:cs="Times New Roman"/>
          <w:b/>
          <w:sz w:val="24"/>
          <w:szCs w:val="24"/>
        </w:rPr>
        <w:t xml:space="preserve"> izvirzīto </w:t>
      </w:r>
      <w:r>
        <w:rPr>
          <w:rFonts w:ascii="Times New Roman" w:hAnsi="Times New Roman" w:cs="Times New Roman"/>
          <w:b/>
          <w:sz w:val="24"/>
          <w:szCs w:val="24"/>
        </w:rPr>
        <w:t>ne</w:t>
      </w:r>
      <w:r w:rsidRPr="00536CC9">
        <w:rPr>
          <w:rFonts w:ascii="Times New Roman" w:hAnsi="Times New Roman" w:cs="Times New Roman"/>
          <w:b/>
          <w:sz w:val="24"/>
          <w:szCs w:val="24"/>
        </w:rPr>
        <w:t xml:space="preserve">finanšu mērķu </w:t>
      </w:r>
      <w:r>
        <w:rPr>
          <w:rFonts w:ascii="Times New Roman" w:hAnsi="Times New Roman" w:cs="Times New Roman"/>
          <w:b/>
          <w:sz w:val="24"/>
          <w:szCs w:val="24"/>
        </w:rPr>
        <w:t xml:space="preserve">galvenie sasniegtie rādītāji </w:t>
      </w:r>
      <w:r w:rsidRPr="00536CC9">
        <w:rPr>
          <w:rFonts w:ascii="Times New Roman" w:hAnsi="Times New Roman" w:cs="Times New Roman"/>
          <w:b/>
          <w:sz w:val="24"/>
          <w:szCs w:val="24"/>
        </w:rPr>
        <w:t>2017.gad</w:t>
      </w:r>
      <w:r>
        <w:rPr>
          <w:rFonts w:ascii="Times New Roman" w:hAnsi="Times New Roman" w:cs="Times New Roman"/>
          <w:b/>
          <w:sz w:val="24"/>
          <w:szCs w:val="24"/>
        </w:rPr>
        <w:t>ā</w:t>
      </w:r>
    </w:p>
    <w:p w:rsidR="00A77EB4" w:rsidRPr="006E0D50" w:rsidRDefault="00A77EB4" w:rsidP="00A47D02">
      <w:pPr>
        <w:spacing w:after="0"/>
        <w:jc w:val="both"/>
        <w:rPr>
          <w:rFonts w:ascii="Times New Roman" w:hAnsi="Times New Roman" w:cs="Times New Roman"/>
          <w:b/>
          <w:sz w:val="28"/>
          <w:szCs w:val="28"/>
        </w:rPr>
      </w:pPr>
    </w:p>
    <w:p w:rsidR="00A77EB4" w:rsidRPr="00144BA5" w:rsidRDefault="00A77EB4" w:rsidP="00A47D02">
      <w:pPr>
        <w:pStyle w:val="Sarakstarindkopa"/>
        <w:numPr>
          <w:ilvl w:val="0"/>
          <w:numId w:val="3"/>
        </w:numPr>
        <w:spacing w:after="0"/>
        <w:jc w:val="both"/>
        <w:rPr>
          <w:rFonts w:ascii="Times New Roman" w:hAnsi="Times New Roman" w:cs="Times New Roman"/>
          <w:b/>
        </w:rPr>
      </w:pPr>
      <w:r w:rsidRPr="00144BA5">
        <w:rPr>
          <w:rFonts w:ascii="Times New Roman" w:hAnsi="Times New Roman" w:cs="Times New Roman"/>
          <w:b/>
        </w:rPr>
        <w:t>Nepārtraukta un kvalitatīva daudzdzīvokļu dzīvojamo māju pārvald</w:t>
      </w:r>
      <w:r w:rsidR="00144BA5">
        <w:rPr>
          <w:rFonts w:ascii="Times New Roman" w:hAnsi="Times New Roman" w:cs="Times New Roman"/>
          <w:b/>
        </w:rPr>
        <w:t>īšana</w:t>
      </w:r>
    </w:p>
    <w:p w:rsidR="00A77EB4" w:rsidRPr="00144BA5" w:rsidRDefault="00A77EB4" w:rsidP="00A47D02">
      <w:pPr>
        <w:pStyle w:val="Sarakstarindkopa"/>
        <w:numPr>
          <w:ilvl w:val="1"/>
          <w:numId w:val="3"/>
        </w:numPr>
        <w:spacing w:after="0"/>
        <w:jc w:val="both"/>
        <w:rPr>
          <w:rFonts w:ascii="Times New Roman" w:hAnsi="Times New Roman" w:cs="Times New Roman"/>
          <w:b/>
        </w:rPr>
      </w:pPr>
      <w:r w:rsidRPr="00144BA5">
        <w:rPr>
          <w:rFonts w:ascii="Times New Roman" w:hAnsi="Times New Roman" w:cs="Times New Roman"/>
          <w:b/>
        </w:rPr>
        <w:t xml:space="preserve"> Daudzdzīvokļu</w:t>
      </w:r>
      <w:r w:rsidR="008C1F1F">
        <w:rPr>
          <w:rFonts w:ascii="Times New Roman" w:hAnsi="Times New Roman" w:cs="Times New Roman"/>
          <w:b/>
        </w:rPr>
        <w:t xml:space="preserve"> </w:t>
      </w:r>
      <w:r w:rsidRPr="00144BA5">
        <w:rPr>
          <w:rFonts w:ascii="Times New Roman" w:hAnsi="Times New Roman" w:cs="Times New Roman"/>
          <w:b/>
        </w:rPr>
        <w:t>dzīvojamo māju iekārtu un komunikāciju pārvaldīš</w:t>
      </w:r>
      <w:r w:rsidR="008C1F1F">
        <w:rPr>
          <w:rFonts w:ascii="Times New Roman" w:hAnsi="Times New Roman" w:cs="Times New Roman"/>
          <w:b/>
        </w:rPr>
        <w:t>a</w:t>
      </w:r>
      <w:r w:rsidRPr="00144BA5">
        <w:rPr>
          <w:rFonts w:ascii="Times New Roman" w:hAnsi="Times New Roman" w:cs="Times New Roman"/>
          <w:b/>
        </w:rPr>
        <w:t>na un apsaimniekošana</w:t>
      </w:r>
    </w:p>
    <w:p w:rsidR="00A77EB4" w:rsidRDefault="008C1F1F"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i</w:t>
      </w:r>
      <w:r w:rsidR="00A77EB4">
        <w:rPr>
          <w:rFonts w:ascii="Times New Roman" w:hAnsi="Times New Roman" w:cs="Times New Roman"/>
        </w:rPr>
        <w:t xml:space="preserve">eviesta attālinātā ūdens patēriņa skaitītāju rādījumu nolasīšana </w:t>
      </w:r>
      <w:r w:rsidR="00342E8D" w:rsidRPr="00342E8D">
        <w:rPr>
          <w:rFonts w:ascii="Times New Roman" w:hAnsi="Times New Roman" w:cs="Times New Roman"/>
        </w:rPr>
        <w:t xml:space="preserve">22 </w:t>
      </w:r>
      <w:r w:rsidR="00A77EB4" w:rsidRPr="00342E8D">
        <w:rPr>
          <w:rFonts w:ascii="Times New Roman" w:hAnsi="Times New Roman" w:cs="Times New Roman"/>
        </w:rPr>
        <w:t>mājām</w:t>
      </w:r>
      <w:r w:rsidR="00A77EB4">
        <w:rPr>
          <w:rFonts w:ascii="Times New Roman" w:hAnsi="Times New Roman" w:cs="Times New Roman"/>
        </w:rPr>
        <w:t>, tādējādi samazinot ūdens patēriņa starpību starp mājas ievada skaitītāju un ūdens patēriņa skaitītāju rādījumiem dzīvokļu īpašumos</w:t>
      </w:r>
      <w:r w:rsidR="005031CD">
        <w:rPr>
          <w:rFonts w:ascii="Times New Roman" w:hAnsi="Times New Roman" w:cs="Times New Roman"/>
        </w:rPr>
        <w:t>;</w:t>
      </w:r>
    </w:p>
    <w:p w:rsidR="005031CD" w:rsidRDefault="008C1F1F"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i</w:t>
      </w:r>
      <w:r w:rsidR="005031CD">
        <w:rPr>
          <w:rFonts w:ascii="Times New Roman" w:hAnsi="Times New Roman" w:cs="Times New Roman"/>
        </w:rPr>
        <w:t>eviesti risinājumi elektroenerģijas uzskaites automatizēšanai un elektroapgādes tīkla modernizācijai</w:t>
      </w:r>
      <w:r w:rsidR="00342E8D">
        <w:rPr>
          <w:rFonts w:ascii="Times New Roman" w:hAnsi="Times New Roman" w:cs="Times New Roman"/>
        </w:rPr>
        <w:t>, ieviesti viedie skaitītāji (kopā 53 mājām)</w:t>
      </w:r>
      <w:r w:rsidR="005031CD">
        <w:rPr>
          <w:rFonts w:ascii="Times New Roman" w:hAnsi="Times New Roman" w:cs="Times New Roman"/>
        </w:rPr>
        <w:t>;</w:t>
      </w:r>
    </w:p>
    <w:p w:rsidR="00AE5126" w:rsidRPr="008C1F1F" w:rsidRDefault="008C1F1F"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i</w:t>
      </w:r>
      <w:r w:rsidR="005031CD" w:rsidRPr="008C1F1F">
        <w:rPr>
          <w:rFonts w:ascii="Times New Roman" w:hAnsi="Times New Roman" w:cs="Times New Roman"/>
        </w:rPr>
        <w:t>eviesti projekti siltummezglu aprīkošana ar attālināto vadības sistēmu</w:t>
      </w:r>
      <w:r w:rsidR="00342E8D" w:rsidRPr="008C1F1F">
        <w:rPr>
          <w:rFonts w:ascii="Times New Roman" w:hAnsi="Times New Roman" w:cs="Times New Roman"/>
        </w:rPr>
        <w:t xml:space="preserve"> kopā 21 ēkai</w:t>
      </w:r>
      <w:r w:rsidR="00AE5126" w:rsidRPr="008C1F1F">
        <w:rPr>
          <w:rFonts w:ascii="Times New Roman" w:hAnsi="Times New Roman" w:cs="Times New Roman"/>
        </w:rPr>
        <w:t>.</w:t>
      </w:r>
    </w:p>
    <w:p w:rsidR="00A77EB4" w:rsidRPr="00AE5126" w:rsidRDefault="00144BA5" w:rsidP="00A47D02">
      <w:pPr>
        <w:pStyle w:val="Sarakstarindkopa"/>
        <w:numPr>
          <w:ilvl w:val="1"/>
          <w:numId w:val="3"/>
        </w:numPr>
        <w:spacing w:after="0"/>
        <w:jc w:val="both"/>
        <w:rPr>
          <w:rFonts w:ascii="Times New Roman" w:hAnsi="Times New Roman" w:cs="Times New Roman"/>
          <w:b/>
        </w:rPr>
      </w:pPr>
      <w:r w:rsidRPr="00AE5126">
        <w:rPr>
          <w:rFonts w:ascii="Times New Roman" w:hAnsi="Times New Roman" w:cs="Times New Roman"/>
          <w:b/>
        </w:rPr>
        <w:t>P</w:t>
      </w:r>
      <w:r w:rsidR="00A77EB4" w:rsidRPr="00AE5126">
        <w:rPr>
          <w:rFonts w:ascii="Times New Roman" w:hAnsi="Times New Roman" w:cs="Times New Roman"/>
          <w:b/>
        </w:rPr>
        <w:t>iesaistīto teritoriju p</w:t>
      </w:r>
      <w:r w:rsidRPr="00AE5126">
        <w:rPr>
          <w:rFonts w:ascii="Times New Roman" w:hAnsi="Times New Roman" w:cs="Times New Roman"/>
          <w:b/>
        </w:rPr>
        <w:t>ārvaldīšana un sanitārā kopšana</w:t>
      </w:r>
    </w:p>
    <w:p w:rsidR="005031CD" w:rsidRDefault="005031CD"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popular</w:t>
      </w:r>
      <w:r w:rsidR="0069077C">
        <w:rPr>
          <w:rFonts w:ascii="Times New Roman" w:hAnsi="Times New Roman" w:cs="Times New Roman"/>
        </w:rPr>
        <w:t>iz</w:t>
      </w:r>
      <w:r>
        <w:rPr>
          <w:rFonts w:ascii="Times New Roman" w:hAnsi="Times New Roman" w:cs="Times New Roman"/>
        </w:rPr>
        <w:t xml:space="preserve">ējot atkritumu šķirošanu sadarbībā ar SIA ZAAO, </w:t>
      </w:r>
      <w:r w:rsidR="00A266DD">
        <w:rPr>
          <w:rFonts w:ascii="Times New Roman" w:hAnsi="Times New Roman" w:cs="Times New Roman"/>
        </w:rPr>
        <w:t>turpinās iedzīvotāju izglītošana sadzīves atkritumu šķirošanā;</w:t>
      </w:r>
    </w:p>
    <w:p w:rsidR="00A266DD" w:rsidRDefault="00731CB0"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divu māju konteineru laukumos</w:t>
      </w:r>
      <w:r w:rsidR="00A266DD">
        <w:rPr>
          <w:rFonts w:ascii="Times New Roman" w:hAnsi="Times New Roman" w:cs="Times New Roman"/>
        </w:rPr>
        <w:t xml:space="preserve"> ierīkoti pazemes atkritumu konteineri, tādējādi uzlabojot apkārtējās vides sakoptību;</w:t>
      </w:r>
    </w:p>
    <w:p w:rsidR="00A266DD" w:rsidRPr="00731CB0" w:rsidRDefault="00731CB0" w:rsidP="00A47D02">
      <w:pPr>
        <w:pStyle w:val="Sarakstarindkopa"/>
        <w:numPr>
          <w:ilvl w:val="0"/>
          <w:numId w:val="4"/>
        </w:numPr>
        <w:spacing w:after="0"/>
        <w:jc w:val="both"/>
        <w:rPr>
          <w:rFonts w:ascii="Times New Roman" w:hAnsi="Times New Roman" w:cs="Times New Roman"/>
        </w:rPr>
      </w:pPr>
      <w:r w:rsidRPr="00731CB0">
        <w:rPr>
          <w:rFonts w:ascii="Times New Roman" w:hAnsi="Times New Roman" w:cs="Times New Roman"/>
        </w:rPr>
        <w:t>mājām veikta dzīvžogu formēšana, apzāģēti koki, bīstamo koku nozāģēšanai piesaistīti arboristi.</w:t>
      </w:r>
    </w:p>
    <w:p w:rsidR="00A77EB4" w:rsidRPr="00144BA5" w:rsidRDefault="00831956" w:rsidP="00A47D02">
      <w:pPr>
        <w:pStyle w:val="Sarakstarindkopa"/>
        <w:numPr>
          <w:ilvl w:val="1"/>
          <w:numId w:val="3"/>
        </w:numPr>
        <w:spacing w:after="0"/>
        <w:jc w:val="both"/>
        <w:rPr>
          <w:rFonts w:ascii="Times New Roman" w:hAnsi="Times New Roman" w:cs="Times New Roman"/>
          <w:b/>
        </w:rPr>
      </w:pPr>
      <w:r>
        <w:rPr>
          <w:rFonts w:ascii="Times New Roman" w:hAnsi="Times New Roman" w:cs="Times New Roman"/>
          <w:b/>
        </w:rPr>
        <w:t>Ē</w:t>
      </w:r>
      <w:r w:rsidR="00A77EB4" w:rsidRPr="00144BA5">
        <w:rPr>
          <w:rFonts w:ascii="Times New Roman" w:hAnsi="Times New Roman" w:cs="Times New Roman"/>
          <w:b/>
        </w:rPr>
        <w:t>ku vizuālā apsekošana un citu pārvaldī</w:t>
      </w:r>
      <w:r w:rsidR="00A266DD" w:rsidRPr="00144BA5">
        <w:rPr>
          <w:rFonts w:ascii="Times New Roman" w:hAnsi="Times New Roman" w:cs="Times New Roman"/>
          <w:b/>
        </w:rPr>
        <w:t>šanas pakalpojumu nodrošināšana:</w:t>
      </w:r>
    </w:p>
    <w:p w:rsidR="00721669" w:rsidRDefault="00A47D02"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v</w:t>
      </w:r>
      <w:r w:rsidR="00CC3212" w:rsidRPr="00F144CE">
        <w:rPr>
          <w:rFonts w:ascii="Times New Roman" w:hAnsi="Times New Roman" w:cs="Times New Roman"/>
        </w:rPr>
        <w:t xml:space="preserve">eiktas ēku </w:t>
      </w:r>
      <w:r w:rsidR="00721669" w:rsidRPr="00F144CE">
        <w:rPr>
          <w:rFonts w:ascii="Times New Roman" w:hAnsi="Times New Roman" w:cs="Times New Roman"/>
        </w:rPr>
        <w:t>vizuālās apsekošanas, sa</w:t>
      </w:r>
      <w:r w:rsidR="00F144CE">
        <w:rPr>
          <w:rFonts w:ascii="Times New Roman" w:hAnsi="Times New Roman" w:cs="Times New Roman"/>
        </w:rPr>
        <w:t>gatavoti akti ar fotofiksācijām;</w:t>
      </w:r>
    </w:p>
    <w:p w:rsidR="00A266DD" w:rsidRDefault="00F144CE"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ē</w:t>
      </w:r>
      <w:r w:rsidRPr="00F144CE">
        <w:rPr>
          <w:rFonts w:ascii="Times New Roman" w:hAnsi="Times New Roman" w:cs="Times New Roman"/>
        </w:rPr>
        <w:t xml:space="preserve">kai Stacijas ielā 23 nomainīti un nosiltināti </w:t>
      </w:r>
      <w:r w:rsidR="008E14B7" w:rsidRPr="00F144CE">
        <w:rPr>
          <w:rFonts w:ascii="Times New Roman" w:hAnsi="Times New Roman" w:cs="Times New Roman"/>
        </w:rPr>
        <w:t>karstā</w:t>
      </w:r>
      <w:r w:rsidRPr="00F144CE">
        <w:rPr>
          <w:rFonts w:ascii="Times New Roman" w:hAnsi="Times New Roman" w:cs="Times New Roman"/>
        </w:rPr>
        <w:t xml:space="preserve"> un aukstā ūdens stāvvadi</w:t>
      </w:r>
      <w:r w:rsidR="00A47D02">
        <w:rPr>
          <w:rFonts w:ascii="Times New Roman" w:hAnsi="Times New Roman" w:cs="Times New Roman"/>
        </w:rPr>
        <w:t>;</w:t>
      </w:r>
    </w:p>
    <w:p w:rsidR="00A47D02" w:rsidRDefault="00A47D02"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regulāri apsekots liftu tehniskais stāvoklis, veiktas apkopes.</w:t>
      </w:r>
    </w:p>
    <w:p w:rsidR="00A47D02" w:rsidRPr="00F144CE" w:rsidRDefault="00A47D02" w:rsidP="00A47D02">
      <w:pPr>
        <w:pStyle w:val="Sarakstarindkopa"/>
        <w:spacing w:after="0"/>
        <w:ind w:left="1440"/>
        <w:jc w:val="both"/>
        <w:rPr>
          <w:rFonts w:ascii="Times New Roman" w:hAnsi="Times New Roman" w:cs="Times New Roman"/>
        </w:rPr>
      </w:pPr>
    </w:p>
    <w:p w:rsidR="00144BA5" w:rsidRPr="00144BA5" w:rsidRDefault="00144BA5" w:rsidP="00A47D02">
      <w:pPr>
        <w:pStyle w:val="Sarakstarindkopa"/>
        <w:numPr>
          <w:ilvl w:val="0"/>
          <w:numId w:val="3"/>
        </w:numPr>
        <w:spacing w:after="0"/>
        <w:jc w:val="both"/>
        <w:rPr>
          <w:rFonts w:ascii="Times New Roman" w:hAnsi="Times New Roman" w:cs="Times New Roman"/>
          <w:b/>
        </w:rPr>
      </w:pPr>
      <w:r w:rsidRPr="00144BA5">
        <w:rPr>
          <w:rFonts w:ascii="Times New Roman" w:hAnsi="Times New Roman" w:cs="Times New Roman"/>
          <w:b/>
        </w:rPr>
        <w:t>Ēku tehniskā uzlabošana un energoef</w:t>
      </w:r>
      <w:r>
        <w:rPr>
          <w:rFonts w:ascii="Times New Roman" w:hAnsi="Times New Roman" w:cs="Times New Roman"/>
          <w:b/>
        </w:rPr>
        <w:t>ektivitātes pasākumu īstenošana</w:t>
      </w:r>
    </w:p>
    <w:p w:rsidR="00144BA5" w:rsidRDefault="00831956" w:rsidP="00A47D02">
      <w:pPr>
        <w:pStyle w:val="Sarakstarindkopa"/>
        <w:numPr>
          <w:ilvl w:val="1"/>
          <w:numId w:val="3"/>
        </w:numPr>
        <w:spacing w:after="0"/>
        <w:jc w:val="both"/>
        <w:rPr>
          <w:rFonts w:ascii="Times New Roman" w:hAnsi="Times New Roman" w:cs="Times New Roman"/>
          <w:b/>
        </w:rPr>
      </w:pPr>
      <w:r>
        <w:rPr>
          <w:rFonts w:ascii="Times New Roman" w:hAnsi="Times New Roman" w:cs="Times New Roman"/>
          <w:b/>
        </w:rPr>
        <w:t>Ē</w:t>
      </w:r>
      <w:r w:rsidR="00144BA5" w:rsidRPr="00144BA5">
        <w:rPr>
          <w:rFonts w:ascii="Times New Roman" w:hAnsi="Times New Roman" w:cs="Times New Roman"/>
          <w:b/>
        </w:rPr>
        <w:t xml:space="preserve">ku </w:t>
      </w:r>
      <w:r w:rsidR="00144BA5">
        <w:rPr>
          <w:rFonts w:ascii="Times New Roman" w:hAnsi="Times New Roman" w:cs="Times New Roman"/>
          <w:b/>
        </w:rPr>
        <w:t>tehniskā uzlabošana</w:t>
      </w:r>
    </w:p>
    <w:p w:rsidR="00831956" w:rsidRPr="00E64533" w:rsidRDefault="00831956" w:rsidP="00A47D02">
      <w:pPr>
        <w:pStyle w:val="Sarakstarindkopa"/>
        <w:numPr>
          <w:ilvl w:val="0"/>
          <w:numId w:val="4"/>
        </w:numPr>
        <w:spacing w:after="0"/>
        <w:jc w:val="both"/>
        <w:rPr>
          <w:rFonts w:ascii="Times New Roman" w:hAnsi="Times New Roman" w:cs="Times New Roman"/>
        </w:rPr>
      </w:pPr>
      <w:r w:rsidRPr="00E64533">
        <w:rPr>
          <w:rFonts w:ascii="Times New Roman" w:hAnsi="Times New Roman" w:cs="Times New Roman"/>
        </w:rPr>
        <w:t>ēkai Vaidavas 1 energoefektivitātes uzlabošanai nosiltināta ēkas gala siena;</w:t>
      </w:r>
    </w:p>
    <w:p w:rsidR="00E64533" w:rsidRPr="00E64533" w:rsidRDefault="00E64533" w:rsidP="00A47D02">
      <w:pPr>
        <w:pStyle w:val="Sarakstarindkopa"/>
        <w:numPr>
          <w:ilvl w:val="0"/>
          <w:numId w:val="4"/>
        </w:numPr>
        <w:spacing w:after="0"/>
        <w:jc w:val="both"/>
        <w:rPr>
          <w:rFonts w:ascii="Times New Roman" w:hAnsi="Times New Roman" w:cs="Times New Roman"/>
        </w:rPr>
      </w:pPr>
      <w:r w:rsidRPr="00E64533">
        <w:rPr>
          <w:rFonts w:ascii="Times New Roman" w:hAnsi="Times New Roman" w:cs="Times New Roman"/>
        </w:rPr>
        <w:t>nomainīts jum</w:t>
      </w:r>
      <w:r w:rsidR="00A47D02">
        <w:rPr>
          <w:rFonts w:ascii="Times New Roman" w:hAnsi="Times New Roman" w:cs="Times New Roman"/>
        </w:rPr>
        <w:t>ta</w:t>
      </w:r>
      <w:r w:rsidRPr="00E64533">
        <w:rPr>
          <w:rFonts w:ascii="Times New Roman" w:hAnsi="Times New Roman" w:cs="Times New Roman"/>
        </w:rPr>
        <w:t xml:space="preserve"> segums ēkai Rūpniecības 48;</w:t>
      </w:r>
    </w:p>
    <w:p w:rsidR="00E64533" w:rsidRPr="00B765E8" w:rsidRDefault="00831956" w:rsidP="00A47D02">
      <w:pPr>
        <w:pStyle w:val="Sarakstarindkopa"/>
        <w:numPr>
          <w:ilvl w:val="0"/>
          <w:numId w:val="4"/>
        </w:numPr>
        <w:spacing w:after="0"/>
        <w:jc w:val="both"/>
        <w:rPr>
          <w:rFonts w:ascii="Times New Roman" w:hAnsi="Times New Roman" w:cs="Times New Roman"/>
        </w:rPr>
      </w:pPr>
      <w:r w:rsidRPr="00B765E8">
        <w:rPr>
          <w:rFonts w:ascii="Times New Roman" w:hAnsi="Times New Roman" w:cs="Times New Roman"/>
        </w:rPr>
        <w:t>izremontētas kāpņu telpas ēkai Vaidavas 7</w:t>
      </w:r>
      <w:r w:rsidR="00E64533" w:rsidRPr="00B765E8">
        <w:rPr>
          <w:rFonts w:ascii="Times New Roman" w:hAnsi="Times New Roman" w:cs="Times New Roman"/>
        </w:rPr>
        <w:t xml:space="preserve"> un ēkai Stacijas 23 uzsākts kāpņu telpu remonts;</w:t>
      </w:r>
    </w:p>
    <w:p w:rsidR="00144BA5" w:rsidRDefault="00144BA5" w:rsidP="00A47D02">
      <w:pPr>
        <w:pStyle w:val="Sarakstarindkopa"/>
        <w:numPr>
          <w:ilvl w:val="1"/>
          <w:numId w:val="3"/>
        </w:numPr>
        <w:spacing w:after="0"/>
        <w:jc w:val="both"/>
        <w:rPr>
          <w:rFonts w:ascii="Times New Roman" w:hAnsi="Times New Roman" w:cs="Times New Roman"/>
          <w:b/>
        </w:rPr>
      </w:pPr>
      <w:r w:rsidRPr="00144BA5">
        <w:rPr>
          <w:rFonts w:ascii="Times New Roman" w:hAnsi="Times New Roman" w:cs="Times New Roman"/>
          <w:b/>
        </w:rPr>
        <w:t xml:space="preserve">ēku energoefektivitātes pasākumu </w:t>
      </w:r>
      <w:r>
        <w:rPr>
          <w:rFonts w:ascii="Times New Roman" w:hAnsi="Times New Roman" w:cs="Times New Roman"/>
          <w:b/>
        </w:rPr>
        <w:t>īstenošana</w:t>
      </w:r>
    </w:p>
    <w:p w:rsidR="00D86DC7" w:rsidRPr="00A47D02" w:rsidRDefault="00D86DC7" w:rsidP="00A47D02">
      <w:pPr>
        <w:pStyle w:val="Sarakstarindkopa"/>
        <w:numPr>
          <w:ilvl w:val="0"/>
          <w:numId w:val="4"/>
        </w:numPr>
        <w:jc w:val="both"/>
        <w:rPr>
          <w:rStyle w:val="Izteiksmgs"/>
          <w:rFonts w:ascii="Times New Roman" w:hAnsi="Times New Roman" w:cs="Times New Roman"/>
          <w:b w:val="0"/>
          <w:bCs w:val="0"/>
        </w:rPr>
      </w:pPr>
      <w:r w:rsidRPr="000B5F33">
        <w:rPr>
          <w:rStyle w:val="Izteiksmgs"/>
          <w:rFonts w:ascii="Times New Roman" w:hAnsi="Times New Roman" w:cs="Times New Roman"/>
          <w:iCs/>
        </w:rPr>
        <w:t>realizēts energoefektivitātes pasākuma projekts</w:t>
      </w:r>
      <w:r w:rsidRPr="00D86DC7">
        <w:rPr>
          <w:rStyle w:val="Izteiksmgs"/>
          <w:rFonts w:ascii="Times New Roman" w:hAnsi="Times New Roman" w:cs="Times New Roman"/>
          <w:b w:val="0"/>
          <w:iCs/>
        </w:rPr>
        <w:t xml:space="preserve"> ar pilsētas pašvaldības līdzfinansējumu (Valmieras pilsētas pašvaldības saistošie noteikumi Nr.130) daudzdzīvokļu dzīvojamai mājai Raiņa ielā 4, Valmierā - jumta siltināšana un seguma nomaiņa</w:t>
      </w:r>
      <w:r w:rsidR="000B5F33">
        <w:rPr>
          <w:rStyle w:val="Izteiksmgs"/>
          <w:rFonts w:ascii="Times New Roman" w:hAnsi="Times New Roman" w:cs="Times New Roman"/>
          <w:b w:val="0"/>
          <w:iCs/>
        </w:rPr>
        <w:t>;</w:t>
      </w:r>
    </w:p>
    <w:p w:rsidR="000B5F33" w:rsidRPr="00A47D02" w:rsidRDefault="000B5F33" w:rsidP="00A47D02">
      <w:pPr>
        <w:pStyle w:val="Sarakstarindkopa"/>
        <w:numPr>
          <w:ilvl w:val="0"/>
          <w:numId w:val="4"/>
        </w:numPr>
        <w:jc w:val="both"/>
        <w:rPr>
          <w:rFonts w:ascii="Times New Roman" w:hAnsi="Times New Roman" w:cs="Times New Roman"/>
        </w:rPr>
      </w:pPr>
      <w:r w:rsidRPr="00A47D02">
        <w:rPr>
          <w:rFonts w:ascii="Times New Roman" w:hAnsi="Times New Roman" w:cs="Times New Roman"/>
          <w:b/>
          <w:bCs/>
          <w:i/>
        </w:rPr>
        <w:t>iesniegti iesniegumi dalībai ALTUM programmā un atzinuma saņemšanai</w:t>
      </w:r>
      <w:r w:rsidRPr="00A47D02">
        <w:rPr>
          <w:rFonts w:ascii="Times New Roman" w:hAnsi="Times New Roman" w:cs="Times New Roman"/>
          <w:bCs/>
        </w:rPr>
        <w:t xml:space="preserve"> „Izaugsme un nodarbinātība” 4.2.1.specifiskā atbalsta mērķa „Veicināt energoefektivitātes paaugstināšanu valsts un dzīvojamās ēkās” 4.2.1.1.pasākuma „Energoefektivitātes paaugstināšanas pasākumi dzīvojamās ēkās”:</w:t>
      </w:r>
      <w:r w:rsidR="007E3B9F" w:rsidRPr="00A47D02">
        <w:rPr>
          <w:rFonts w:ascii="Times New Roman" w:hAnsi="Times New Roman" w:cs="Times New Roman"/>
          <w:bCs/>
        </w:rPr>
        <w:t xml:space="preserve"> Andreja Upīša ielā 6, Valmierā, Diakonāta ielā 1, Valmierā, Rīgas ielā 18, Valmierā un</w:t>
      </w:r>
      <w:r w:rsidR="00A47D02">
        <w:rPr>
          <w:rFonts w:ascii="Times New Roman" w:hAnsi="Times New Roman" w:cs="Times New Roman"/>
          <w:bCs/>
        </w:rPr>
        <w:t xml:space="preserve"> Beātes ielā 23, Valmierā;</w:t>
      </w:r>
    </w:p>
    <w:p w:rsidR="000B5F33" w:rsidRPr="00A47D02" w:rsidRDefault="000B5F33" w:rsidP="00A47D02">
      <w:pPr>
        <w:pStyle w:val="Sarakstarindkopa"/>
        <w:numPr>
          <w:ilvl w:val="0"/>
          <w:numId w:val="4"/>
        </w:numPr>
        <w:jc w:val="both"/>
        <w:rPr>
          <w:rFonts w:ascii="Times New Roman" w:hAnsi="Times New Roman" w:cs="Times New Roman"/>
        </w:rPr>
      </w:pPr>
      <w:r w:rsidRPr="00A47D02">
        <w:rPr>
          <w:rFonts w:ascii="Times New Roman" w:hAnsi="Times New Roman" w:cs="Times New Roman"/>
          <w:b/>
          <w:bCs/>
          <w:i/>
        </w:rPr>
        <w:t>saņemti atzinumi par dalību ALTUM programmā un atzinuma saņemšana</w:t>
      </w:r>
      <w:r w:rsidRPr="00A47D02">
        <w:rPr>
          <w:rFonts w:ascii="Times New Roman" w:hAnsi="Times New Roman" w:cs="Times New Roman"/>
          <w:bCs/>
        </w:rPr>
        <w:t xml:space="preserve"> „Izaugsme un nodarbinātība” 4.2.1.specifiskā atbalsta mērķa „Veicināt energoefektivitātes paaugstināšanu valsts un dzīvojamās ēkās” 4.2.1.1.pasākuma „Energoefektivitātes paaugstināšanas pasākumi dzīvojamās ēkās”:</w:t>
      </w:r>
      <w:r w:rsidR="007E3B9F" w:rsidRPr="00A47D02">
        <w:rPr>
          <w:rFonts w:ascii="Times New Roman" w:hAnsi="Times New Roman" w:cs="Times New Roman"/>
          <w:bCs/>
        </w:rPr>
        <w:t xml:space="preserve"> </w:t>
      </w:r>
      <w:r w:rsidRPr="00A47D02">
        <w:rPr>
          <w:rFonts w:ascii="Times New Roman" w:hAnsi="Times New Roman" w:cs="Times New Roman"/>
          <w:bCs/>
        </w:rPr>
        <w:t>Stacijas ielā 14</w:t>
      </w:r>
      <w:r w:rsidR="007E3B9F" w:rsidRPr="00A47D02">
        <w:rPr>
          <w:rFonts w:ascii="Times New Roman" w:hAnsi="Times New Roman" w:cs="Times New Roman"/>
          <w:bCs/>
        </w:rPr>
        <w:t xml:space="preserve">, Valmierā, </w:t>
      </w:r>
      <w:r w:rsidRPr="00A47D02">
        <w:rPr>
          <w:rFonts w:ascii="Times New Roman" w:hAnsi="Times New Roman" w:cs="Times New Roman"/>
          <w:bCs/>
        </w:rPr>
        <w:t>Kārļa Baumaņa ielā 2</w:t>
      </w:r>
      <w:r w:rsidR="007E3B9F" w:rsidRPr="00A47D02">
        <w:rPr>
          <w:rFonts w:ascii="Times New Roman" w:hAnsi="Times New Roman" w:cs="Times New Roman"/>
          <w:bCs/>
        </w:rPr>
        <w:t xml:space="preserve">, Valmierā un </w:t>
      </w:r>
      <w:r w:rsidR="00A47D02">
        <w:rPr>
          <w:rFonts w:ascii="Times New Roman" w:hAnsi="Times New Roman" w:cs="Times New Roman"/>
          <w:bCs/>
        </w:rPr>
        <w:t>Andreja Upīša ielā 6, Valmierā;</w:t>
      </w:r>
    </w:p>
    <w:p w:rsidR="000B5F33" w:rsidRPr="00A47D02" w:rsidRDefault="000B5F33" w:rsidP="00A47D02">
      <w:pPr>
        <w:pStyle w:val="Sarakstarindkopa"/>
        <w:numPr>
          <w:ilvl w:val="0"/>
          <w:numId w:val="4"/>
        </w:numPr>
        <w:jc w:val="both"/>
        <w:rPr>
          <w:rFonts w:ascii="Times New Roman" w:hAnsi="Times New Roman" w:cs="Times New Roman"/>
        </w:rPr>
      </w:pPr>
      <w:r w:rsidRPr="00A47D02">
        <w:rPr>
          <w:rFonts w:ascii="Times New Roman" w:hAnsi="Times New Roman" w:cs="Times New Roman"/>
          <w:b/>
          <w:bCs/>
          <w:i/>
        </w:rPr>
        <w:t>izstrādāts ēkas energosertifikāts:</w:t>
      </w:r>
      <w:r w:rsidRPr="00A47D02">
        <w:rPr>
          <w:rFonts w:ascii="Times New Roman" w:hAnsi="Times New Roman" w:cs="Times New Roman"/>
          <w:bCs/>
        </w:rPr>
        <w:t xml:space="preserve"> </w:t>
      </w:r>
    </w:p>
    <w:p w:rsidR="000B5F33" w:rsidRPr="007E3B9F" w:rsidRDefault="007E3B9F" w:rsidP="00A47D02">
      <w:pPr>
        <w:pStyle w:val="Sarakstarindkopa"/>
        <w:spacing w:after="0"/>
        <w:ind w:left="1440"/>
        <w:jc w:val="both"/>
        <w:rPr>
          <w:rFonts w:ascii="Times New Roman" w:hAnsi="Times New Roman" w:cs="Times New Roman"/>
          <w:bCs/>
        </w:rPr>
      </w:pPr>
      <w:r>
        <w:rPr>
          <w:rFonts w:ascii="Times New Roman" w:hAnsi="Times New Roman" w:cs="Times New Roman"/>
          <w:bCs/>
        </w:rPr>
        <w:t>izstrādāt</w:t>
      </w:r>
      <w:r w:rsidR="00A47D02">
        <w:rPr>
          <w:rFonts w:ascii="Times New Roman" w:hAnsi="Times New Roman" w:cs="Times New Roman"/>
          <w:bCs/>
        </w:rPr>
        <w:t>s</w:t>
      </w:r>
      <w:r>
        <w:rPr>
          <w:rFonts w:ascii="Times New Roman" w:hAnsi="Times New Roman" w:cs="Times New Roman"/>
          <w:bCs/>
        </w:rPr>
        <w:t xml:space="preserve"> ēka</w:t>
      </w:r>
      <w:r w:rsidR="00A47D02">
        <w:rPr>
          <w:rFonts w:ascii="Times New Roman" w:hAnsi="Times New Roman" w:cs="Times New Roman"/>
          <w:bCs/>
        </w:rPr>
        <w:t>s</w:t>
      </w:r>
      <w:r>
        <w:rPr>
          <w:rFonts w:ascii="Times New Roman" w:hAnsi="Times New Roman" w:cs="Times New Roman"/>
          <w:bCs/>
        </w:rPr>
        <w:t xml:space="preserve"> enorgosertifikāts </w:t>
      </w:r>
      <w:r w:rsidR="000B5F33" w:rsidRPr="007E3B9F">
        <w:rPr>
          <w:rFonts w:ascii="Times New Roman" w:hAnsi="Times New Roman" w:cs="Times New Roman"/>
          <w:bCs/>
        </w:rPr>
        <w:t>daudzdzīvokļu dzīvojamai mājai Rūpniecības ielā 42</w:t>
      </w:r>
      <w:r>
        <w:rPr>
          <w:rFonts w:ascii="Times New Roman" w:hAnsi="Times New Roman" w:cs="Times New Roman"/>
          <w:bCs/>
        </w:rPr>
        <w:t xml:space="preserve">, Valmierā, </w:t>
      </w:r>
      <w:r w:rsidR="000B5F33" w:rsidRPr="007E3B9F">
        <w:rPr>
          <w:rFonts w:ascii="Times New Roman" w:hAnsi="Times New Roman" w:cs="Times New Roman"/>
          <w:bCs/>
        </w:rPr>
        <w:t>Vaidavas ielā 7</w:t>
      </w:r>
      <w:r>
        <w:rPr>
          <w:rFonts w:ascii="Times New Roman" w:hAnsi="Times New Roman" w:cs="Times New Roman"/>
          <w:bCs/>
        </w:rPr>
        <w:t xml:space="preserve">, Valmierā, Andreja Upīša ielā 6, Valmierā un </w:t>
      </w:r>
      <w:r w:rsidR="000B5F33" w:rsidRPr="007E3B9F">
        <w:rPr>
          <w:rFonts w:ascii="Times New Roman" w:hAnsi="Times New Roman" w:cs="Times New Roman"/>
          <w:bCs/>
        </w:rPr>
        <w:t>Rīgas ielā 18, Valmierā.</w:t>
      </w:r>
    </w:p>
    <w:p w:rsidR="00144BA5" w:rsidRDefault="00144BA5" w:rsidP="00A47D02">
      <w:pPr>
        <w:pStyle w:val="Sarakstarindkopa"/>
        <w:numPr>
          <w:ilvl w:val="1"/>
          <w:numId w:val="3"/>
        </w:numPr>
        <w:spacing w:after="0"/>
        <w:jc w:val="both"/>
        <w:rPr>
          <w:rFonts w:ascii="Times New Roman" w:hAnsi="Times New Roman" w:cs="Times New Roman"/>
          <w:b/>
        </w:rPr>
      </w:pPr>
      <w:r w:rsidRPr="00144BA5">
        <w:rPr>
          <w:rFonts w:ascii="Times New Roman" w:hAnsi="Times New Roman" w:cs="Times New Roman"/>
          <w:b/>
        </w:rPr>
        <w:t>piesaistīto teritoriju labiekārtošana.</w:t>
      </w:r>
    </w:p>
    <w:p w:rsidR="00D86DC7" w:rsidRPr="00477023" w:rsidRDefault="00A47D02" w:rsidP="00A47D02">
      <w:pPr>
        <w:pStyle w:val="Sarakstarindkopa"/>
        <w:numPr>
          <w:ilvl w:val="0"/>
          <w:numId w:val="4"/>
        </w:numPr>
        <w:jc w:val="both"/>
        <w:rPr>
          <w:rFonts w:ascii="Times New Roman" w:hAnsi="Times New Roman" w:cs="Times New Roman"/>
          <w:b/>
        </w:rPr>
      </w:pPr>
      <w:r>
        <w:rPr>
          <w:rStyle w:val="Izteiksmgs"/>
          <w:rFonts w:ascii="Times New Roman" w:hAnsi="Times New Roman" w:cs="Times New Roman"/>
          <w:b w:val="0"/>
          <w:iCs/>
        </w:rPr>
        <w:t>r</w:t>
      </w:r>
      <w:r w:rsidR="00D86DC7" w:rsidRPr="00477023">
        <w:rPr>
          <w:rStyle w:val="Izteiksmgs"/>
          <w:rFonts w:ascii="Times New Roman" w:hAnsi="Times New Roman" w:cs="Times New Roman"/>
          <w:b w:val="0"/>
          <w:iCs/>
        </w:rPr>
        <w:t>ealizēts projekts Piesaistīto zemesgabalu labiekārtošanas pasākums (Valmieras pilsētas pašvaldības saistošie noteikumi Nr.130) daudzdzīvokļu dzīvojamai mājai Stacijas iela  21, Valmierā - stāvlaukuma un gājēju ietves, mājas servitūta ceļa seguma un bērnu rotaļu laukuma izbūve, zaļās zonas ierīkošana, apgaismojuma renovācija.</w:t>
      </w:r>
    </w:p>
    <w:p w:rsidR="00CC3212" w:rsidRPr="00477023" w:rsidRDefault="00CC3212" w:rsidP="00A47D02">
      <w:pPr>
        <w:pStyle w:val="Sarakstarindkopa"/>
        <w:spacing w:after="0"/>
        <w:ind w:left="1440"/>
        <w:jc w:val="both"/>
        <w:rPr>
          <w:rFonts w:ascii="Times New Roman" w:hAnsi="Times New Roman" w:cs="Times New Roman"/>
          <w:highlight w:val="yellow"/>
        </w:rPr>
      </w:pPr>
    </w:p>
    <w:p w:rsidR="00CC3212" w:rsidRPr="00477023" w:rsidRDefault="00CC3212" w:rsidP="00A47D02">
      <w:pPr>
        <w:pStyle w:val="Sarakstarindkopa"/>
        <w:numPr>
          <w:ilvl w:val="0"/>
          <w:numId w:val="3"/>
        </w:numPr>
        <w:spacing w:after="0"/>
        <w:jc w:val="both"/>
        <w:rPr>
          <w:rFonts w:ascii="Times New Roman" w:hAnsi="Times New Roman" w:cs="Times New Roman"/>
          <w:b/>
        </w:rPr>
      </w:pPr>
      <w:r w:rsidRPr="00477023">
        <w:rPr>
          <w:rFonts w:ascii="Times New Roman" w:hAnsi="Times New Roman" w:cs="Times New Roman"/>
          <w:b/>
        </w:rPr>
        <w:t>Klientu apkalpošanas kvalitātes un komunikācijas uzlabošana</w:t>
      </w:r>
    </w:p>
    <w:p w:rsidR="00CC3212" w:rsidRDefault="00CC3212" w:rsidP="00A47D02">
      <w:pPr>
        <w:pStyle w:val="Sarakstarindkopa"/>
        <w:numPr>
          <w:ilvl w:val="1"/>
          <w:numId w:val="3"/>
        </w:numPr>
        <w:spacing w:after="0"/>
        <w:jc w:val="both"/>
        <w:rPr>
          <w:rFonts w:ascii="Times New Roman" w:hAnsi="Times New Roman" w:cs="Times New Roman"/>
          <w:b/>
        </w:rPr>
      </w:pPr>
      <w:r w:rsidRPr="00CC3212">
        <w:rPr>
          <w:rFonts w:ascii="Times New Roman" w:hAnsi="Times New Roman" w:cs="Times New Roman"/>
          <w:b/>
        </w:rPr>
        <w:t xml:space="preserve">Klientu apkalpošanas </w:t>
      </w:r>
      <w:r>
        <w:rPr>
          <w:rFonts w:ascii="Times New Roman" w:hAnsi="Times New Roman" w:cs="Times New Roman"/>
          <w:b/>
        </w:rPr>
        <w:t>uzlabošana</w:t>
      </w:r>
    </w:p>
    <w:p w:rsidR="00CC3212" w:rsidRDefault="00A47D02"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lastRenderedPageBreak/>
        <w:t>a</w:t>
      </w:r>
      <w:r w:rsidR="00C10544">
        <w:rPr>
          <w:rFonts w:ascii="Times New Roman" w:hAnsi="Times New Roman" w:cs="Times New Roman"/>
        </w:rPr>
        <w:t xml:space="preserve">ktuālas informācijas publiskošana mājas lapā </w:t>
      </w:r>
      <w:hyperlink r:id="rId7" w:history="1">
        <w:r w:rsidR="00C10544" w:rsidRPr="005E2887">
          <w:rPr>
            <w:rStyle w:val="Hipersaite"/>
            <w:rFonts w:ascii="Times New Roman" w:hAnsi="Times New Roman" w:cs="Times New Roman"/>
          </w:rPr>
          <w:t>www.v-nami.lv</w:t>
        </w:r>
      </w:hyperlink>
    </w:p>
    <w:p w:rsidR="00C10544" w:rsidRDefault="00A47D02"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i</w:t>
      </w:r>
      <w:r w:rsidR="00C10544">
        <w:rPr>
          <w:rFonts w:ascii="Times New Roman" w:hAnsi="Times New Roman" w:cs="Times New Roman"/>
        </w:rPr>
        <w:t xml:space="preserve">espēja nodot ūdens skaitītāju rādījumus </w:t>
      </w:r>
      <w:r w:rsidR="00A15145">
        <w:rPr>
          <w:rFonts w:ascii="Times New Roman" w:hAnsi="Times New Roman" w:cs="Times New Roman"/>
        </w:rPr>
        <w:t xml:space="preserve">elektroniski </w:t>
      </w:r>
      <w:r w:rsidR="00C10544">
        <w:rPr>
          <w:rFonts w:ascii="Times New Roman" w:hAnsi="Times New Roman" w:cs="Times New Roman"/>
        </w:rPr>
        <w:t xml:space="preserve">vortālā e-namsaimnieks, </w:t>
      </w:r>
      <w:r w:rsidR="00A15145">
        <w:rPr>
          <w:rFonts w:ascii="Times New Roman" w:hAnsi="Times New Roman" w:cs="Times New Roman"/>
        </w:rPr>
        <w:t>e-pas</w:t>
      </w:r>
      <w:r>
        <w:rPr>
          <w:rFonts w:ascii="Times New Roman" w:hAnsi="Times New Roman" w:cs="Times New Roman"/>
        </w:rPr>
        <w:t>tā, klientu apkalpošanas centrā;</w:t>
      </w:r>
    </w:p>
    <w:p w:rsidR="00A15145" w:rsidRDefault="00A47D02" w:rsidP="00A47D02">
      <w:pPr>
        <w:pStyle w:val="Sarakstarindkopa"/>
        <w:spacing w:after="0"/>
        <w:ind w:left="1440"/>
        <w:jc w:val="both"/>
        <w:rPr>
          <w:rFonts w:ascii="Times New Roman" w:hAnsi="Times New Roman" w:cs="Times New Roman"/>
        </w:rPr>
      </w:pPr>
      <w:r>
        <w:rPr>
          <w:rFonts w:ascii="Times New Roman" w:hAnsi="Times New Roman" w:cs="Times New Roman"/>
        </w:rPr>
        <w:t>k</w:t>
      </w:r>
      <w:r w:rsidR="00A15145" w:rsidRPr="00772C9A">
        <w:rPr>
          <w:rFonts w:ascii="Times New Roman" w:hAnsi="Times New Roman" w:cs="Times New Roman"/>
        </w:rPr>
        <w:t xml:space="preserve">onsultācijas dzīvojamo māju īpašnieku kopsapulču organizēšanā un lēmumu pieņemšanā. </w:t>
      </w:r>
      <w:r>
        <w:rPr>
          <w:rFonts w:ascii="Times New Roman" w:hAnsi="Times New Roman" w:cs="Times New Roman"/>
        </w:rPr>
        <w:t>2017.gadā i</w:t>
      </w:r>
      <w:r w:rsidR="00772C9A" w:rsidRPr="00772C9A">
        <w:rPr>
          <w:rFonts w:ascii="Times New Roman" w:hAnsi="Times New Roman" w:cs="Times New Roman"/>
        </w:rPr>
        <w:t>r notikušas 55 dzīvojamo māju īpašnieku k</w:t>
      </w:r>
      <w:r w:rsidR="00772C9A">
        <w:rPr>
          <w:rFonts w:ascii="Times New Roman" w:hAnsi="Times New Roman" w:cs="Times New Roman"/>
        </w:rPr>
        <w:t>o</w:t>
      </w:r>
      <w:r w:rsidR="00A33056">
        <w:rPr>
          <w:rFonts w:ascii="Times New Roman" w:hAnsi="Times New Roman" w:cs="Times New Roman"/>
        </w:rPr>
        <w:t>psapulces;</w:t>
      </w:r>
    </w:p>
    <w:p w:rsidR="00A33056" w:rsidRPr="00772C9A" w:rsidRDefault="00A47D02"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p</w:t>
      </w:r>
      <w:r w:rsidR="00A33056">
        <w:rPr>
          <w:rFonts w:ascii="Times New Roman" w:hAnsi="Times New Roman" w:cs="Times New Roman"/>
        </w:rPr>
        <w:t>astāvīgi sniegta informācija</w:t>
      </w:r>
      <w:r w:rsidR="00CE71CE">
        <w:rPr>
          <w:rFonts w:ascii="Times New Roman" w:hAnsi="Times New Roman" w:cs="Times New Roman"/>
        </w:rPr>
        <w:t xml:space="preserve"> par </w:t>
      </w:r>
      <w:r w:rsidR="008E14B7">
        <w:rPr>
          <w:rFonts w:ascii="Times New Roman" w:hAnsi="Times New Roman" w:cs="Times New Roman"/>
        </w:rPr>
        <w:t>dzīvokļu</w:t>
      </w:r>
      <w:r w:rsidR="00CE71CE">
        <w:rPr>
          <w:rFonts w:ascii="Times New Roman" w:hAnsi="Times New Roman" w:cs="Times New Roman"/>
        </w:rPr>
        <w:t xml:space="preserve"> īpašnieku kopības lēmumu pieņemšanas kārtību, sagatavoti dokumentu paraugi- sapulču protokolu, pilnvaru, balsošanas anket</w:t>
      </w:r>
      <w:r>
        <w:rPr>
          <w:rFonts w:ascii="Times New Roman" w:hAnsi="Times New Roman" w:cs="Times New Roman"/>
        </w:rPr>
        <w:t>u</w:t>
      </w:r>
      <w:r w:rsidR="00CE71CE">
        <w:rPr>
          <w:rFonts w:ascii="Times New Roman" w:hAnsi="Times New Roman" w:cs="Times New Roman"/>
        </w:rPr>
        <w:t>, aptaujas anket</w:t>
      </w:r>
      <w:r>
        <w:rPr>
          <w:rFonts w:ascii="Times New Roman" w:hAnsi="Times New Roman" w:cs="Times New Roman"/>
        </w:rPr>
        <w:t xml:space="preserve">u </w:t>
      </w:r>
      <w:r w:rsidR="00CE71CE">
        <w:rPr>
          <w:rFonts w:ascii="Times New Roman" w:hAnsi="Times New Roman" w:cs="Times New Roman"/>
        </w:rPr>
        <w:t>- nodrošinot kopsapulču un aptauju efektīvu un operatīvu norisi.</w:t>
      </w:r>
    </w:p>
    <w:p w:rsidR="00C10544" w:rsidRDefault="00CC3212" w:rsidP="00A47D02">
      <w:pPr>
        <w:pStyle w:val="Sarakstarindkopa"/>
        <w:numPr>
          <w:ilvl w:val="1"/>
          <w:numId w:val="3"/>
        </w:numPr>
        <w:spacing w:after="0"/>
        <w:jc w:val="both"/>
        <w:rPr>
          <w:rFonts w:ascii="Times New Roman" w:hAnsi="Times New Roman" w:cs="Times New Roman"/>
          <w:b/>
        </w:rPr>
      </w:pPr>
      <w:r w:rsidRPr="00CC3212">
        <w:rPr>
          <w:rFonts w:ascii="Times New Roman" w:hAnsi="Times New Roman" w:cs="Times New Roman"/>
          <w:b/>
        </w:rPr>
        <w:t>Izglītojošo un informatīvo pasākumu rīkošana</w:t>
      </w:r>
    </w:p>
    <w:p w:rsidR="00C10544" w:rsidRPr="006209AD" w:rsidRDefault="00A47D02"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r</w:t>
      </w:r>
      <w:r w:rsidR="006209AD" w:rsidRPr="006209AD">
        <w:rPr>
          <w:rFonts w:ascii="Times New Roman" w:hAnsi="Times New Roman" w:cs="Times New Roman"/>
        </w:rPr>
        <w:t>īkotas informatīvas dzīvokļu īpašnieku k</w:t>
      </w:r>
      <w:r w:rsidR="00C10544" w:rsidRPr="006209AD">
        <w:rPr>
          <w:rFonts w:ascii="Times New Roman" w:hAnsi="Times New Roman" w:cs="Times New Roman"/>
        </w:rPr>
        <w:t>opsapulces</w:t>
      </w:r>
      <w:r w:rsidR="006209AD" w:rsidRPr="006209AD">
        <w:rPr>
          <w:rFonts w:ascii="Times New Roman" w:hAnsi="Times New Roman" w:cs="Times New Roman"/>
        </w:rPr>
        <w:t xml:space="preserve"> par māju tehniskā stāvokļa uzlabošanas un energoefektivitātes jautājumiem</w:t>
      </w:r>
      <w:r w:rsidR="006209AD">
        <w:rPr>
          <w:rFonts w:ascii="Times New Roman" w:hAnsi="Times New Roman" w:cs="Times New Roman"/>
        </w:rPr>
        <w:t>;</w:t>
      </w:r>
    </w:p>
    <w:p w:rsidR="00C10544" w:rsidRPr="006209AD" w:rsidRDefault="00A47D02"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m</w:t>
      </w:r>
      <w:r w:rsidR="00C10544" w:rsidRPr="006209AD">
        <w:rPr>
          <w:rFonts w:ascii="Times New Roman" w:hAnsi="Times New Roman" w:cs="Times New Roman"/>
        </w:rPr>
        <w:t>āju vecāko un padomes informēšana un izglītošana</w:t>
      </w:r>
      <w:r w:rsidR="00A15145" w:rsidRPr="006209AD">
        <w:rPr>
          <w:rFonts w:ascii="Times New Roman" w:hAnsi="Times New Roman" w:cs="Times New Roman"/>
        </w:rPr>
        <w:t xml:space="preserve"> apsaimniekošanas</w:t>
      </w:r>
      <w:r w:rsidR="006209AD">
        <w:rPr>
          <w:rFonts w:ascii="Times New Roman" w:hAnsi="Times New Roman" w:cs="Times New Roman"/>
        </w:rPr>
        <w:t xml:space="preserve"> un citos pilsētai aktuālos</w:t>
      </w:r>
      <w:r w:rsidR="00A15145" w:rsidRPr="006209AD">
        <w:rPr>
          <w:rFonts w:ascii="Times New Roman" w:hAnsi="Times New Roman" w:cs="Times New Roman"/>
        </w:rPr>
        <w:t xml:space="preserve"> jautājumos</w:t>
      </w:r>
      <w:r w:rsidR="006209AD">
        <w:rPr>
          <w:rFonts w:ascii="Times New Roman" w:hAnsi="Times New Roman" w:cs="Times New Roman"/>
        </w:rPr>
        <w:t>, piesaistot pilsētas pašvaldības pārstāvjus</w:t>
      </w:r>
      <w:r w:rsidR="0044225D">
        <w:rPr>
          <w:rFonts w:ascii="Times New Roman" w:hAnsi="Times New Roman" w:cs="Times New Roman"/>
        </w:rPr>
        <w:t xml:space="preserve"> un komunālo pakalpojumu sniedzēju pārstāvjus.</w:t>
      </w:r>
    </w:p>
    <w:p w:rsidR="00CC3212" w:rsidRDefault="00C10544" w:rsidP="00A47D02">
      <w:pPr>
        <w:pStyle w:val="Sarakstarindkopa"/>
        <w:numPr>
          <w:ilvl w:val="1"/>
          <w:numId w:val="3"/>
        </w:numPr>
        <w:spacing w:after="0"/>
        <w:jc w:val="both"/>
        <w:rPr>
          <w:rFonts w:ascii="Times New Roman" w:hAnsi="Times New Roman" w:cs="Times New Roman"/>
          <w:b/>
        </w:rPr>
      </w:pPr>
      <w:r w:rsidRPr="00CC3212">
        <w:rPr>
          <w:rFonts w:ascii="Times New Roman" w:hAnsi="Times New Roman" w:cs="Times New Roman"/>
          <w:b/>
        </w:rPr>
        <w:t xml:space="preserve"> </w:t>
      </w:r>
      <w:r w:rsidR="00CC3212" w:rsidRPr="00CC3212">
        <w:rPr>
          <w:rFonts w:ascii="Times New Roman" w:hAnsi="Times New Roman" w:cs="Times New Roman"/>
          <w:b/>
        </w:rPr>
        <w:t>Informācijas tehnoloģiju risinājumu izstrāde klientu apkalpošanas uzlabošanai.</w:t>
      </w:r>
    </w:p>
    <w:p w:rsidR="00A15145" w:rsidRDefault="00A47D02"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i</w:t>
      </w:r>
      <w:r w:rsidR="00A15145">
        <w:rPr>
          <w:rFonts w:ascii="Times New Roman" w:hAnsi="Times New Roman" w:cs="Times New Roman"/>
        </w:rPr>
        <w:t>zstrādāta vienota elektronisko maksājumu sistēma klientiem, sa</w:t>
      </w:r>
      <w:r>
        <w:rPr>
          <w:rFonts w:ascii="Times New Roman" w:hAnsi="Times New Roman" w:cs="Times New Roman"/>
        </w:rPr>
        <w:t>darbībā ar SWEDBANK un SEB bank;</w:t>
      </w:r>
    </w:p>
    <w:p w:rsidR="00A15145" w:rsidRDefault="00A47D02"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i</w:t>
      </w:r>
      <w:r w:rsidR="00841760">
        <w:rPr>
          <w:rFonts w:ascii="Times New Roman" w:hAnsi="Times New Roman" w:cs="Times New Roman"/>
        </w:rPr>
        <w:t xml:space="preserve">eviesta vienota Nekustamo īpašumu norēķinu un apsaimniekošanas uzskaite, kas nodrošina pārskatāmu Nekustamo </w:t>
      </w:r>
      <w:r w:rsidR="008E14B7">
        <w:rPr>
          <w:rFonts w:ascii="Times New Roman" w:hAnsi="Times New Roman" w:cs="Times New Roman"/>
        </w:rPr>
        <w:t>Īpašumu</w:t>
      </w:r>
      <w:r w:rsidR="00841760">
        <w:rPr>
          <w:rFonts w:ascii="Times New Roman" w:hAnsi="Times New Roman" w:cs="Times New Roman"/>
        </w:rPr>
        <w:t xml:space="preserve"> procesu pārvaldību</w:t>
      </w:r>
      <w:r>
        <w:rPr>
          <w:rFonts w:ascii="Times New Roman" w:hAnsi="Times New Roman" w:cs="Times New Roman"/>
        </w:rPr>
        <w:t>;</w:t>
      </w:r>
    </w:p>
    <w:p w:rsidR="00091B7B" w:rsidRDefault="00A47D02"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d</w:t>
      </w:r>
      <w:r w:rsidR="00091B7B">
        <w:rPr>
          <w:rFonts w:ascii="Times New Roman" w:hAnsi="Times New Roman" w:cs="Times New Roman"/>
        </w:rPr>
        <w:t>zīvokļu īpašnieku kopsapulču organizēšanas kvalitātes nodrošināšana, izmantojot datortehniku iekārtas.</w:t>
      </w:r>
    </w:p>
    <w:p w:rsidR="00481804" w:rsidRDefault="00481804" w:rsidP="00A47D02">
      <w:pPr>
        <w:pStyle w:val="Sarakstarindkopa"/>
        <w:spacing w:after="0"/>
        <w:ind w:left="1440"/>
        <w:jc w:val="both"/>
        <w:rPr>
          <w:rFonts w:ascii="Times New Roman" w:hAnsi="Times New Roman" w:cs="Times New Roman"/>
        </w:rPr>
      </w:pPr>
    </w:p>
    <w:p w:rsidR="00481804" w:rsidRDefault="00481804" w:rsidP="00A47D02">
      <w:pPr>
        <w:pStyle w:val="Sarakstarindkopa"/>
        <w:numPr>
          <w:ilvl w:val="0"/>
          <w:numId w:val="3"/>
        </w:numPr>
        <w:spacing w:after="0"/>
        <w:jc w:val="both"/>
        <w:rPr>
          <w:rFonts w:ascii="Times New Roman" w:hAnsi="Times New Roman" w:cs="Times New Roman"/>
          <w:b/>
        </w:rPr>
      </w:pPr>
      <w:r w:rsidRPr="00481804">
        <w:rPr>
          <w:rFonts w:ascii="Times New Roman" w:hAnsi="Times New Roman" w:cs="Times New Roman"/>
          <w:b/>
        </w:rPr>
        <w:t>Valmieras pilsētas administratīvās teritorijas uzturēšana, labiekārtošana un sanitārā uzkopšana, dzīvnieku patversmes uzturēšana</w:t>
      </w:r>
    </w:p>
    <w:p w:rsidR="00481804" w:rsidRPr="00481804" w:rsidRDefault="00481804" w:rsidP="00A47D02">
      <w:pPr>
        <w:pStyle w:val="Sarakstarindkopa"/>
        <w:numPr>
          <w:ilvl w:val="1"/>
          <w:numId w:val="3"/>
        </w:numPr>
        <w:spacing w:after="0"/>
        <w:jc w:val="both"/>
        <w:rPr>
          <w:rFonts w:ascii="Times New Roman" w:hAnsi="Times New Roman" w:cs="Times New Roman"/>
          <w:b/>
        </w:rPr>
      </w:pPr>
      <w:r w:rsidRPr="00481804">
        <w:rPr>
          <w:rFonts w:ascii="Times New Roman" w:hAnsi="Times New Roman" w:cs="Times New Roman"/>
          <w:b/>
        </w:rPr>
        <w:t>parku, skvēru, ietvju, publiskā lietošanā esošo teritoriju un zaļo zonu uzturēšana un sakopšana</w:t>
      </w:r>
    </w:p>
    <w:p w:rsidR="007B7FE5" w:rsidRDefault="007B7FE5" w:rsidP="00A47D02">
      <w:pPr>
        <w:pStyle w:val="Sarakstarindkopa"/>
        <w:numPr>
          <w:ilvl w:val="0"/>
          <w:numId w:val="4"/>
        </w:numPr>
        <w:spacing w:after="0"/>
        <w:jc w:val="both"/>
        <w:rPr>
          <w:rFonts w:ascii="Times New Roman" w:hAnsi="Times New Roman" w:cs="Times New Roman"/>
        </w:rPr>
      </w:pPr>
      <w:r w:rsidRPr="007B7FE5">
        <w:rPr>
          <w:rFonts w:ascii="Times New Roman" w:hAnsi="Times New Roman" w:cs="Times New Roman"/>
        </w:rPr>
        <w:t xml:space="preserve">izzāģēti 120 koku apakšējie zari, nozāģēti 278 zari, nozāģēti 140 koki, </w:t>
      </w:r>
      <w:r>
        <w:rPr>
          <w:rFonts w:ascii="Times New Roman" w:hAnsi="Times New Roman" w:cs="Times New Roman"/>
        </w:rPr>
        <w:t xml:space="preserve">bīstamo koku </w:t>
      </w:r>
      <w:r w:rsidR="008E14B7">
        <w:rPr>
          <w:rFonts w:ascii="Times New Roman" w:hAnsi="Times New Roman" w:cs="Times New Roman"/>
        </w:rPr>
        <w:t>nozāģēšanai</w:t>
      </w:r>
      <w:r>
        <w:rPr>
          <w:rFonts w:ascii="Times New Roman" w:hAnsi="Times New Roman" w:cs="Times New Roman"/>
        </w:rPr>
        <w:t xml:space="preserve"> piesaistīti arboristi;</w:t>
      </w:r>
    </w:p>
    <w:p w:rsidR="007B7FE5" w:rsidRDefault="007B7FE5" w:rsidP="00A47D02">
      <w:pPr>
        <w:pStyle w:val="Sarakstarindkopa"/>
        <w:numPr>
          <w:ilvl w:val="0"/>
          <w:numId w:val="4"/>
        </w:numPr>
        <w:spacing w:after="0"/>
        <w:jc w:val="both"/>
        <w:rPr>
          <w:rFonts w:ascii="Times New Roman" w:hAnsi="Times New Roman" w:cs="Times New Roman"/>
        </w:rPr>
      </w:pPr>
      <w:r w:rsidRPr="007B7FE5">
        <w:rPr>
          <w:rFonts w:ascii="Times New Roman" w:hAnsi="Times New Roman" w:cs="Times New Roman"/>
        </w:rPr>
        <w:t xml:space="preserve">nopļauti </w:t>
      </w:r>
      <w:r>
        <w:rPr>
          <w:rFonts w:ascii="Times New Roman" w:hAnsi="Times New Roman" w:cs="Times New Roman"/>
        </w:rPr>
        <w:t xml:space="preserve">un sakopti zālāji </w:t>
      </w:r>
      <w:r w:rsidRPr="007B7FE5">
        <w:rPr>
          <w:rFonts w:ascii="Times New Roman" w:hAnsi="Times New Roman" w:cs="Times New Roman"/>
        </w:rPr>
        <w:t xml:space="preserve">147.43 ha </w:t>
      </w:r>
      <w:r>
        <w:rPr>
          <w:rFonts w:ascii="Times New Roman" w:hAnsi="Times New Roman" w:cs="Times New Roman"/>
        </w:rPr>
        <w:t>platībā;</w:t>
      </w:r>
    </w:p>
    <w:p w:rsidR="00E64533" w:rsidRPr="00E64533" w:rsidRDefault="00E64533" w:rsidP="00A47D02">
      <w:pPr>
        <w:pStyle w:val="Sarakstarindkopa"/>
        <w:numPr>
          <w:ilvl w:val="0"/>
          <w:numId w:val="4"/>
        </w:numPr>
        <w:spacing w:after="0"/>
        <w:jc w:val="both"/>
        <w:rPr>
          <w:rFonts w:ascii="Times New Roman" w:hAnsi="Times New Roman" w:cs="Times New Roman"/>
        </w:rPr>
      </w:pPr>
      <w:r w:rsidRPr="00E64533">
        <w:rPr>
          <w:rFonts w:ascii="Times New Roman" w:hAnsi="Times New Roman" w:cs="Times New Roman"/>
        </w:rPr>
        <w:t>izgatavoti un uzstādīti vairāki soliņi atpūtas vietās pilsētā</w:t>
      </w:r>
      <w:r w:rsidR="00F144CE">
        <w:rPr>
          <w:rFonts w:ascii="Times New Roman" w:hAnsi="Times New Roman" w:cs="Times New Roman"/>
        </w:rPr>
        <w:t>;</w:t>
      </w:r>
    </w:p>
    <w:p w:rsidR="00E64533" w:rsidRDefault="00DC7ADC"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i</w:t>
      </w:r>
      <w:r w:rsidR="00F144CE">
        <w:rPr>
          <w:rFonts w:ascii="Times New Roman" w:hAnsi="Times New Roman" w:cs="Times New Roman"/>
        </w:rPr>
        <w:t>erīkoti puķu stādījumu, izveidota “ziedu upe” Vecpuišu parkā</w:t>
      </w:r>
      <w:r>
        <w:rPr>
          <w:rFonts w:ascii="Times New Roman" w:hAnsi="Times New Roman" w:cs="Times New Roman"/>
        </w:rPr>
        <w:t>;</w:t>
      </w:r>
    </w:p>
    <w:p w:rsidR="00F144CE" w:rsidRPr="00E64533" w:rsidRDefault="0033388E"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 xml:space="preserve">piedalīšanās </w:t>
      </w:r>
      <w:r w:rsidR="00DC7ADC">
        <w:rPr>
          <w:rFonts w:ascii="Times New Roman" w:hAnsi="Times New Roman" w:cs="Times New Roman"/>
        </w:rPr>
        <w:t>ziedu kompozīciju veidošan</w:t>
      </w:r>
      <w:r>
        <w:rPr>
          <w:rFonts w:ascii="Times New Roman" w:hAnsi="Times New Roman" w:cs="Times New Roman"/>
        </w:rPr>
        <w:t>ā</w:t>
      </w:r>
      <w:r w:rsidR="00DC7ADC">
        <w:rPr>
          <w:rFonts w:ascii="Times New Roman" w:hAnsi="Times New Roman" w:cs="Times New Roman"/>
        </w:rPr>
        <w:t xml:space="preserve"> </w:t>
      </w:r>
      <w:r>
        <w:rPr>
          <w:rFonts w:ascii="Times New Roman" w:hAnsi="Times New Roman" w:cs="Times New Roman"/>
        </w:rPr>
        <w:t>pilsētas centrā veltītu Zinību dienai.</w:t>
      </w:r>
    </w:p>
    <w:p w:rsidR="00481804" w:rsidRPr="00481804" w:rsidRDefault="00481804" w:rsidP="00A47D02">
      <w:pPr>
        <w:pStyle w:val="Sarakstarindkopa"/>
        <w:numPr>
          <w:ilvl w:val="1"/>
          <w:numId w:val="3"/>
        </w:numPr>
        <w:spacing w:after="0"/>
        <w:jc w:val="both"/>
        <w:rPr>
          <w:rFonts w:ascii="Times New Roman" w:hAnsi="Times New Roman" w:cs="Times New Roman"/>
          <w:b/>
        </w:rPr>
      </w:pPr>
      <w:r w:rsidRPr="00481804">
        <w:rPr>
          <w:rFonts w:ascii="Times New Roman" w:hAnsi="Times New Roman" w:cs="Times New Roman"/>
          <w:b/>
        </w:rPr>
        <w:t>Valmieras pilsētas pašvaldībai piederošo kapsētu uzturēšana</w:t>
      </w:r>
    </w:p>
    <w:p w:rsidR="00CA5EAE" w:rsidRDefault="00CA5EAE"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ieviesta Valmieras pilsētas kapu digitalizācija;</w:t>
      </w:r>
    </w:p>
    <w:p w:rsidR="00CA5EAE" w:rsidRDefault="00CA5EAE"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 xml:space="preserve"> ieviesta elektroniskā norēķinu sistēma pakalpojumiem;</w:t>
      </w:r>
    </w:p>
    <w:p w:rsidR="00CA5EAE" w:rsidRDefault="00CA5EAE"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 xml:space="preserve"> vasaras sezonā  kapu apmeklētāju ērtībai uzstādītas pārvietojamās tualetes.</w:t>
      </w:r>
    </w:p>
    <w:p w:rsidR="00481804" w:rsidRDefault="00481804" w:rsidP="00A47D02">
      <w:pPr>
        <w:pStyle w:val="Sarakstarindkopa"/>
        <w:numPr>
          <w:ilvl w:val="1"/>
          <w:numId w:val="3"/>
        </w:numPr>
        <w:spacing w:after="0"/>
        <w:jc w:val="both"/>
        <w:rPr>
          <w:rFonts w:ascii="Times New Roman" w:hAnsi="Times New Roman" w:cs="Times New Roman"/>
          <w:b/>
        </w:rPr>
      </w:pPr>
      <w:r w:rsidRPr="00481804">
        <w:rPr>
          <w:rFonts w:ascii="Times New Roman" w:hAnsi="Times New Roman" w:cs="Times New Roman"/>
          <w:b/>
        </w:rPr>
        <w:t>Sabiedrisko tualešu un pārvietojamo biotualešu publiskās vietās uzturēšana</w:t>
      </w:r>
    </w:p>
    <w:p w:rsidR="00E77263" w:rsidRDefault="00E77263" w:rsidP="00A47D02">
      <w:pPr>
        <w:pStyle w:val="Sarakstarindkopa"/>
        <w:spacing w:after="0"/>
        <w:ind w:left="1080"/>
        <w:jc w:val="both"/>
        <w:rPr>
          <w:rFonts w:ascii="Times New Roman" w:hAnsi="Times New Roman" w:cs="Times New Roman"/>
        </w:rPr>
      </w:pPr>
      <w:r>
        <w:rPr>
          <w:rFonts w:ascii="Times New Roman" w:hAnsi="Times New Roman" w:cs="Times New Roman"/>
          <w:b/>
        </w:rPr>
        <w:t xml:space="preserve">- </w:t>
      </w:r>
      <w:r w:rsidRPr="00E77263">
        <w:rPr>
          <w:rFonts w:ascii="Times New Roman" w:hAnsi="Times New Roman" w:cs="Times New Roman"/>
        </w:rPr>
        <w:t>nodrošinā</w:t>
      </w:r>
      <w:r>
        <w:rPr>
          <w:rFonts w:ascii="Times New Roman" w:hAnsi="Times New Roman" w:cs="Times New Roman"/>
        </w:rPr>
        <w:t>ta</w:t>
      </w:r>
      <w:r w:rsidRPr="00E77263">
        <w:rPr>
          <w:rFonts w:ascii="Times New Roman" w:hAnsi="Times New Roman" w:cs="Times New Roman"/>
        </w:rPr>
        <w:t xml:space="preserve"> div</w:t>
      </w:r>
      <w:r>
        <w:rPr>
          <w:rFonts w:ascii="Times New Roman" w:hAnsi="Times New Roman" w:cs="Times New Roman"/>
        </w:rPr>
        <w:t>u</w:t>
      </w:r>
      <w:r w:rsidRPr="00E77263">
        <w:rPr>
          <w:rFonts w:ascii="Times New Roman" w:hAnsi="Times New Roman" w:cs="Times New Roman"/>
        </w:rPr>
        <w:t xml:space="preserve"> Valmieras </w:t>
      </w:r>
      <w:r>
        <w:rPr>
          <w:rFonts w:ascii="Times New Roman" w:hAnsi="Times New Roman" w:cs="Times New Roman"/>
        </w:rPr>
        <w:t xml:space="preserve">pilsētas </w:t>
      </w:r>
      <w:r w:rsidRPr="00E77263">
        <w:rPr>
          <w:rFonts w:ascii="Times New Roman" w:hAnsi="Times New Roman" w:cs="Times New Roman"/>
        </w:rPr>
        <w:t>sabiedrisk</w:t>
      </w:r>
      <w:r>
        <w:rPr>
          <w:rFonts w:ascii="Times New Roman" w:hAnsi="Times New Roman" w:cs="Times New Roman"/>
        </w:rPr>
        <w:t>o</w:t>
      </w:r>
      <w:r w:rsidRPr="00E77263">
        <w:rPr>
          <w:rFonts w:ascii="Times New Roman" w:hAnsi="Times New Roman" w:cs="Times New Roman"/>
        </w:rPr>
        <w:t xml:space="preserve"> tuale</w:t>
      </w:r>
      <w:r>
        <w:rPr>
          <w:rFonts w:ascii="Times New Roman" w:hAnsi="Times New Roman" w:cs="Times New Roman"/>
        </w:rPr>
        <w:t>šu uzturēšana</w:t>
      </w:r>
      <w:r w:rsidRPr="00E77263">
        <w:rPr>
          <w:rFonts w:ascii="Times New Roman" w:hAnsi="Times New Roman" w:cs="Times New Roman"/>
        </w:rPr>
        <w:t xml:space="preserve"> K.Baumaņa </w:t>
      </w:r>
      <w:r>
        <w:rPr>
          <w:rFonts w:ascii="Times New Roman" w:hAnsi="Times New Roman" w:cs="Times New Roman"/>
        </w:rPr>
        <w:t xml:space="preserve">ielā </w:t>
      </w:r>
      <w:r w:rsidR="00CA5EAE">
        <w:rPr>
          <w:rFonts w:ascii="Times New Roman" w:hAnsi="Times New Roman" w:cs="Times New Roman"/>
        </w:rPr>
        <w:t>6a un Vecpuišu parkā;</w:t>
      </w:r>
    </w:p>
    <w:p w:rsidR="00CA5EAE" w:rsidRDefault="00CA5EAE" w:rsidP="00A47D02">
      <w:pPr>
        <w:pStyle w:val="Sarakstarindkopa"/>
        <w:spacing w:after="0"/>
        <w:ind w:left="1080"/>
        <w:jc w:val="both"/>
        <w:rPr>
          <w:rFonts w:ascii="Times New Roman" w:hAnsi="Times New Roman" w:cs="Times New Roman"/>
        </w:rPr>
      </w:pPr>
      <w:r>
        <w:rPr>
          <w:rFonts w:ascii="Times New Roman" w:hAnsi="Times New Roman" w:cs="Times New Roman"/>
          <w:b/>
        </w:rPr>
        <w:t>-</w:t>
      </w:r>
      <w:r w:rsidRPr="00CA5EAE">
        <w:rPr>
          <w:rFonts w:ascii="Times New Roman" w:hAnsi="Times New Roman" w:cs="Times New Roman"/>
        </w:rPr>
        <w:t xml:space="preserve"> nodrošināta</w:t>
      </w:r>
      <w:r>
        <w:rPr>
          <w:rFonts w:ascii="Times New Roman" w:hAnsi="Times New Roman" w:cs="Times New Roman"/>
        </w:rPr>
        <w:t xml:space="preserve"> publiskajās vietās uzstādīto</w:t>
      </w:r>
      <w:r w:rsidR="00B13EA6">
        <w:rPr>
          <w:rFonts w:ascii="Times New Roman" w:hAnsi="Times New Roman" w:cs="Times New Roman"/>
        </w:rPr>
        <w:t xml:space="preserve"> pārvietojamo</w:t>
      </w:r>
      <w:r>
        <w:rPr>
          <w:rFonts w:ascii="Times New Roman" w:hAnsi="Times New Roman" w:cs="Times New Roman"/>
        </w:rPr>
        <w:t xml:space="preserve"> tualešu apkope </w:t>
      </w:r>
      <w:r w:rsidR="00B13EA6">
        <w:rPr>
          <w:rFonts w:ascii="Times New Roman" w:hAnsi="Times New Roman" w:cs="Times New Roman"/>
        </w:rPr>
        <w:t>divas reizes nedēļā.</w:t>
      </w:r>
    </w:p>
    <w:p w:rsidR="00481804" w:rsidRPr="00481804" w:rsidRDefault="00481804" w:rsidP="00A47D02">
      <w:pPr>
        <w:pStyle w:val="Sarakstarindkopa"/>
        <w:numPr>
          <w:ilvl w:val="1"/>
          <w:numId w:val="3"/>
        </w:numPr>
        <w:spacing w:after="0"/>
        <w:jc w:val="both"/>
        <w:rPr>
          <w:rFonts w:ascii="Times New Roman" w:hAnsi="Times New Roman" w:cs="Times New Roman"/>
          <w:b/>
        </w:rPr>
      </w:pPr>
      <w:r w:rsidRPr="00481804">
        <w:rPr>
          <w:rFonts w:ascii="Times New Roman" w:hAnsi="Times New Roman" w:cs="Times New Roman"/>
          <w:b/>
        </w:rPr>
        <w:t>Valmieras pilsētas ielu mehanizēta uzturēš</w:t>
      </w:r>
      <w:r w:rsidR="00091B7B">
        <w:rPr>
          <w:rFonts w:ascii="Times New Roman" w:hAnsi="Times New Roman" w:cs="Times New Roman"/>
          <w:b/>
        </w:rPr>
        <w:t>a</w:t>
      </w:r>
      <w:r w:rsidRPr="00481804">
        <w:rPr>
          <w:rFonts w:ascii="Times New Roman" w:hAnsi="Times New Roman" w:cs="Times New Roman"/>
          <w:b/>
        </w:rPr>
        <w:t>na, ielu seguma remontdarbu veikšana, satiksmes drošības pasākumu nodrošināšana</w:t>
      </w:r>
    </w:p>
    <w:p w:rsidR="00481804" w:rsidRDefault="00D14408"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v</w:t>
      </w:r>
      <w:r w:rsidR="00B13EA6">
        <w:rPr>
          <w:rFonts w:ascii="Times New Roman" w:hAnsi="Times New Roman" w:cs="Times New Roman"/>
        </w:rPr>
        <w:t xml:space="preserve">asaras sezonā veikta ielu seguma slaucīšana 219095 m garumā, </w:t>
      </w:r>
      <w:r w:rsidR="008E14B7">
        <w:rPr>
          <w:rFonts w:ascii="Times New Roman" w:hAnsi="Times New Roman" w:cs="Times New Roman"/>
        </w:rPr>
        <w:t>saremontēti</w:t>
      </w:r>
      <w:r w:rsidR="00B13EA6">
        <w:rPr>
          <w:rFonts w:ascii="Times New Roman" w:hAnsi="Times New Roman" w:cs="Times New Roman"/>
        </w:rPr>
        <w:t xml:space="preserve"> bojātie asfaltbetona segumi 8800m2 platībā, nogreiderētas grantētās ielas 1513259 m</w:t>
      </w:r>
      <w:r w:rsidR="00B13EA6" w:rsidRPr="008C6457">
        <w:rPr>
          <w:rFonts w:ascii="Times New Roman" w:hAnsi="Times New Roman" w:cs="Times New Roman"/>
          <w:vertAlign w:val="superscript"/>
        </w:rPr>
        <w:t>2</w:t>
      </w:r>
      <w:r w:rsidR="00B13EA6">
        <w:rPr>
          <w:rFonts w:ascii="Times New Roman" w:hAnsi="Times New Roman" w:cs="Times New Roman"/>
        </w:rPr>
        <w:t xml:space="preserve"> platībā, tāpat grantētās ielas apstrādātas ar pretputekļu absorbentu 201854 </w:t>
      </w:r>
      <w:r w:rsidR="008C6457">
        <w:rPr>
          <w:rFonts w:ascii="Times New Roman" w:hAnsi="Times New Roman" w:cs="Times New Roman"/>
        </w:rPr>
        <w:t>m</w:t>
      </w:r>
      <w:r w:rsidR="008C6457" w:rsidRPr="008C6457">
        <w:rPr>
          <w:rFonts w:ascii="Times New Roman" w:hAnsi="Times New Roman" w:cs="Times New Roman"/>
          <w:vertAlign w:val="superscript"/>
        </w:rPr>
        <w:t>2</w:t>
      </w:r>
      <w:r w:rsidR="00B13EA6">
        <w:rPr>
          <w:rFonts w:ascii="Times New Roman" w:hAnsi="Times New Roman" w:cs="Times New Roman"/>
        </w:rPr>
        <w:t xml:space="preserve">. </w:t>
      </w:r>
    </w:p>
    <w:p w:rsidR="00B13EA6" w:rsidRDefault="00D14408"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zi</w:t>
      </w:r>
      <w:r w:rsidR="00B13EA6">
        <w:rPr>
          <w:rFonts w:ascii="Times New Roman" w:hAnsi="Times New Roman" w:cs="Times New Roman"/>
        </w:rPr>
        <w:t>emas sezonā pilsētas ielu kaisīšana ar sāli vai smilts –sāls maisījumu</w:t>
      </w:r>
      <w:r>
        <w:rPr>
          <w:rFonts w:ascii="Times New Roman" w:hAnsi="Times New Roman" w:cs="Times New Roman"/>
        </w:rPr>
        <w:t xml:space="preserve"> 3490 km platībā, ielu attīrīšana no sniega 570 km garumā;</w:t>
      </w:r>
    </w:p>
    <w:p w:rsidR="00D14408" w:rsidRDefault="00D14408"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atjaunoti ielu horizontālie apzīmējumi un nopļautas ceļu nomales, uzstādītas 74 jaunas ceļazīmes un saremontētas 261 bojāta ceļazīme.</w:t>
      </w:r>
    </w:p>
    <w:p w:rsidR="00481804" w:rsidRDefault="00481804" w:rsidP="00A47D02">
      <w:pPr>
        <w:pStyle w:val="Sarakstarindkopa"/>
        <w:numPr>
          <w:ilvl w:val="1"/>
          <w:numId w:val="3"/>
        </w:numPr>
        <w:spacing w:after="0"/>
        <w:jc w:val="both"/>
        <w:rPr>
          <w:rFonts w:ascii="Times New Roman" w:hAnsi="Times New Roman" w:cs="Times New Roman"/>
          <w:b/>
        </w:rPr>
      </w:pPr>
      <w:r w:rsidRPr="00481804">
        <w:rPr>
          <w:rFonts w:ascii="Times New Roman" w:hAnsi="Times New Roman" w:cs="Times New Roman"/>
          <w:b/>
        </w:rPr>
        <w:t>klaiņojošo dzīvnieku patversmes uzturēšana</w:t>
      </w:r>
    </w:p>
    <w:p w:rsidR="00481804" w:rsidRDefault="007E3B9F"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 xml:space="preserve">izgatavoti  4 jauni </w:t>
      </w:r>
      <w:r w:rsidR="008E14B7">
        <w:rPr>
          <w:rFonts w:ascii="Times New Roman" w:hAnsi="Times New Roman" w:cs="Times New Roman"/>
        </w:rPr>
        <w:t>voljēri</w:t>
      </w:r>
      <w:r>
        <w:rPr>
          <w:rFonts w:ascii="Times New Roman" w:hAnsi="Times New Roman" w:cs="Times New Roman"/>
        </w:rPr>
        <w:t xml:space="preserve"> dzīvnieku labturībai</w:t>
      </w:r>
      <w:r w:rsidR="008557BC">
        <w:rPr>
          <w:rFonts w:ascii="Times New Roman" w:hAnsi="Times New Roman" w:cs="Times New Roman"/>
        </w:rPr>
        <w:t>;</w:t>
      </w:r>
    </w:p>
    <w:p w:rsidR="007E3B9F" w:rsidRDefault="007E3B9F"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klaiņojošo dzīvnieku ķeršanai iegādātas jaunas ķerša</w:t>
      </w:r>
      <w:r w:rsidR="006D7135">
        <w:rPr>
          <w:rFonts w:ascii="Times New Roman" w:hAnsi="Times New Roman" w:cs="Times New Roman"/>
        </w:rPr>
        <w:t>na</w:t>
      </w:r>
      <w:r>
        <w:rPr>
          <w:rFonts w:ascii="Times New Roman" w:hAnsi="Times New Roman" w:cs="Times New Roman"/>
        </w:rPr>
        <w:t xml:space="preserve">s kastes </w:t>
      </w:r>
      <w:r w:rsidR="008557BC">
        <w:rPr>
          <w:rFonts w:ascii="Times New Roman" w:hAnsi="Times New Roman" w:cs="Times New Roman"/>
        </w:rPr>
        <w:t>un aprīkojums;</w:t>
      </w:r>
    </w:p>
    <w:p w:rsidR="008557BC" w:rsidRDefault="008557BC"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ve</w:t>
      </w:r>
      <w:r w:rsidR="006D7135">
        <w:rPr>
          <w:rFonts w:ascii="Times New Roman" w:hAnsi="Times New Roman" w:cs="Times New Roman"/>
        </w:rPr>
        <w:t>i</w:t>
      </w:r>
      <w:r>
        <w:rPr>
          <w:rFonts w:ascii="Times New Roman" w:hAnsi="Times New Roman" w:cs="Times New Roman"/>
        </w:rPr>
        <w:t>kts kosmētiskais remonts patversmes iekšējām telpām.</w:t>
      </w:r>
    </w:p>
    <w:p w:rsidR="00F144CE" w:rsidRPr="007E3B9F" w:rsidRDefault="00F144CE" w:rsidP="00A47D02">
      <w:pPr>
        <w:pStyle w:val="Sarakstarindkopa"/>
        <w:spacing w:after="0"/>
        <w:ind w:left="1440"/>
        <w:jc w:val="both"/>
        <w:rPr>
          <w:rFonts w:ascii="Times New Roman" w:hAnsi="Times New Roman" w:cs="Times New Roman"/>
        </w:rPr>
      </w:pPr>
    </w:p>
    <w:p w:rsidR="00481804" w:rsidRPr="00481804" w:rsidRDefault="00481804" w:rsidP="00A47D02">
      <w:pPr>
        <w:pStyle w:val="Sarakstarindkopa"/>
        <w:numPr>
          <w:ilvl w:val="0"/>
          <w:numId w:val="3"/>
        </w:numPr>
        <w:spacing w:after="0"/>
        <w:jc w:val="both"/>
        <w:rPr>
          <w:rFonts w:ascii="Times New Roman" w:hAnsi="Times New Roman" w:cs="Times New Roman"/>
          <w:b/>
        </w:rPr>
      </w:pPr>
      <w:r w:rsidRPr="00481804">
        <w:rPr>
          <w:rFonts w:ascii="Times New Roman" w:hAnsi="Times New Roman" w:cs="Times New Roman"/>
          <w:b/>
        </w:rPr>
        <w:lastRenderedPageBreak/>
        <w:t>Uzņēmuma konkurētspējas nodrošināšana, mūsdienīgu pārvaldības principu piemērošana,</w:t>
      </w:r>
      <w:r w:rsidR="002C0ED7">
        <w:rPr>
          <w:rFonts w:ascii="Times New Roman" w:hAnsi="Times New Roman" w:cs="Times New Roman"/>
          <w:b/>
        </w:rPr>
        <w:t xml:space="preserve"> </w:t>
      </w:r>
      <w:r w:rsidRPr="00481804">
        <w:rPr>
          <w:rFonts w:ascii="Times New Roman" w:hAnsi="Times New Roman" w:cs="Times New Roman"/>
          <w:b/>
        </w:rPr>
        <w:t>personāla profes</w:t>
      </w:r>
      <w:r w:rsidR="002C0ED7">
        <w:rPr>
          <w:rFonts w:ascii="Times New Roman" w:hAnsi="Times New Roman" w:cs="Times New Roman"/>
          <w:b/>
        </w:rPr>
        <w:t>ionālās</w:t>
      </w:r>
      <w:r w:rsidRPr="00481804">
        <w:rPr>
          <w:rFonts w:ascii="Times New Roman" w:hAnsi="Times New Roman" w:cs="Times New Roman"/>
          <w:b/>
        </w:rPr>
        <w:t xml:space="preserve"> pieredze</w:t>
      </w:r>
      <w:r w:rsidR="002C0ED7">
        <w:rPr>
          <w:rFonts w:ascii="Times New Roman" w:hAnsi="Times New Roman" w:cs="Times New Roman"/>
          <w:b/>
        </w:rPr>
        <w:t>s</w:t>
      </w:r>
      <w:r w:rsidRPr="00481804">
        <w:rPr>
          <w:rFonts w:ascii="Times New Roman" w:hAnsi="Times New Roman" w:cs="Times New Roman"/>
          <w:b/>
        </w:rPr>
        <w:t xml:space="preserve"> paaugstināšana</w:t>
      </w:r>
      <w:r w:rsidR="00D11324">
        <w:rPr>
          <w:rFonts w:ascii="Times New Roman" w:hAnsi="Times New Roman" w:cs="Times New Roman"/>
          <w:b/>
        </w:rPr>
        <w:t>.</w:t>
      </w:r>
    </w:p>
    <w:p w:rsidR="00481804" w:rsidRDefault="00481804" w:rsidP="00A47D02">
      <w:pPr>
        <w:pStyle w:val="Sarakstarindkopa"/>
        <w:numPr>
          <w:ilvl w:val="1"/>
          <w:numId w:val="3"/>
        </w:numPr>
        <w:spacing w:after="0"/>
        <w:jc w:val="both"/>
        <w:rPr>
          <w:rFonts w:ascii="Times New Roman" w:hAnsi="Times New Roman" w:cs="Times New Roman"/>
          <w:b/>
        </w:rPr>
      </w:pPr>
      <w:r w:rsidRPr="00481804">
        <w:rPr>
          <w:rFonts w:ascii="Times New Roman" w:hAnsi="Times New Roman" w:cs="Times New Roman"/>
          <w:b/>
        </w:rPr>
        <w:t>uzņēmuma da</w:t>
      </w:r>
      <w:r w:rsidR="00D11324">
        <w:rPr>
          <w:rFonts w:ascii="Times New Roman" w:hAnsi="Times New Roman" w:cs="Times New Roman"/>
          <w:b/>
        </w:rPr>
        <w:t>rba organizēšanas pilnveidošana</w:t>
      </w:r>
    </w:p>
    <w:p w:rsidR="00D11324" w:rsidRDefault="0033388E"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n</w:t>
      </w:r>
      <w:r w:rsidR="00171A4B" w:rsidRPr="0033388E">
        <w:rPr>
          <w:rFonts w:ascii="Times New Roman" w:hAnsi="Times New Roman" w:cs="Times New Roman"/>
        </w:rPr>
        <w:t>odrošināta līgumu ar pakalpojumu sniedzējiem slēgšana un līgumu izpildes kontrole attiecībā uz pakalpojumu kvalitāti un norēķiniem</w:t>
      </w:r>
      <w:r>
        <w:rPr>
          <w:rFonts w:ascii="Times New Roman" w:hAnsi="Times New Roman" w:cs="Times New Roman"/>
        </w:rPr>
        <w:t>;</w:t>
      </w:r>
    </w:p>
    <w:p w:rsidR="0033388E" w:rsidRDefault="008C1F1F"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 xml:space="preserve">pārvaldīšanas līgumu grozījumi vai papildinājumi pēc dzīvokļu īpašnieku lēmuma </w:t>
      </w:r>
      <w:r w:rsidR="008E14B7">
        <w:rPr>
          <w:rFonts w:ascii="Times New Roman" w:hAnsi="Times New Roman" w:cs="Times New Roman"/>
        </w:rPr>
        <w:t>kopsapulcēs</w:t>
      </w:r>
      <w:r>
        <w:rPr>
          <w:rFonts w:ascii="Times New Roman" w:hAnsi="Times New Roman" w:cs="Times New Roman"/>
        </w:rPr>
        <w:t>;</w:t>
      </w:r>
    </w:p>
    <w:p w:rsidR="008C1F1F" w:rsidRPr="0033388E" w:rsidRDefault="008C1F1F"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pilnveidota saņemtās informācijas aprite – informācijas centrā saņemtā informācija nekavējoties tiek nodota atbildīgām personām, komunikācija ar klientu tiek nodrošināta līdz jautājuma pilnīgai atrisināšanai.</w:t>
      </w:r>
    </w:p>
    <w:p w:rsidR="00481804" w:rsidRDefault="00481804" w:rsidP="00A47D02">
      <w:pPr>
        <w:pStyle w:val="Sarakstarindkopa"/>
        <w:numPr>
          <w:ilvl w:val="1"/>
          <w:numId w:val="3"/>
        </w:numPr>
        <w:spacing w:after="0"/>
        <w:jc w:val="both"/>
        <w:rPr>
          <w:rFonts w:ascii="Times New Roman" w:hAnsi="Times New Roman" w:cs="Times New Roman"/>
          <w:b/>
        </w:rPr>
      </w:pPr>
      <w:r w:rsidRPr="00481804">
        <w:rPr>
          <w:rFonts w:ascii="Times New Roman" w:hAnsi="Times New Roman" w:cs="Times New Roman"/>
          <w:b/>
        </w:rPr>
        <w:t xml:space="preserve"> materiāli tehniskās bāzes un infra</w:t>
      </w:r>
      <w:r w:rsidR="00D11324">
        <w:rPr>
          <w:rFonts w:ascii="Times New Roman" w:hAnsi="Times New Roman" w:cs="Times New Roman"/>
          <w:b/>
        </w:rPr>
        <w:t>struktūras uzlabošana</w:t>
      </w:r>
    </w:p>
    <w:p w:rsidR="00632531" w:rsidRDefault="00632531"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regulāra</w:t>
      </w:r>
      <w:r w:rsidR="00091B7B">
        <w:rPr>
          <w:rFonts w:ascii="Times New Roman" w:hAnsi="Times New Roman" w:cs="Times New Roman"/>
        </w:rPr>
        <w:t xml:space="preserve"> transporta līdzekļu </w:t>
      </w:r>
      <w:r>
        <w:rPr>
          <w:rFonts w:ascii="Times New Roman" w:hAnsi="Times New Roman" w:cs="Times New Roman"/>
        </w:rPr>
        <w:t>uzturēšana un apkope;</w:t>
      </w:r>
    </w:p>
    <w:p w:rsidR="00D11324" w:rsidRDefault="00632531"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i</w:t>
      </w:r>
      <w:r w:rsidR="00CB3622">
        <w:rPr>
          <w:rFonts w:ascii="Times New Roman" w:hAnsi="Times New Roman" w:cs="Times New Roman"/>
        </w:rPr>
        <w:t xml:space="preserve">egādātas divas lietotas </w:t>
      </w:r>
      <w:r w:rsidR="00091793">
        <w:rPr>
          <w:rFonts w:ascii="Times New Roman" w:hAnsi="Times New Roman" w:cs="Times New Roman"/>
        </w:rPr>
        <w:t xml:space="preserve">mazizmēra </w:t>
      </w:r>
      <w:r w:rsidR="00CB3622">
        <w:rPr>
          <w:rFonts w:ascii="Times New Roman" w:hAnsi="Times New Roman" w:cs="Times New Roman"/>
        </w:rPr>
        <w:t>kravas</w:t>
      </w:r>
      <w:r w:rsidR="00DC7ADC">
        <w:rPr>
          <w:rFonts w:ascii="Times New Roman" w:hAnsi="Times New Roman" w:cs="Times New Roman"/>
        </w:rPr>
        <w:t xml:space="preserve"> automašīnas sagādes vajadzībām;</w:t>
      </w:r>
    </w:p>
    <w:p w:rsidR="00DC7ADC" w:rsidRPr="00D11324" w:rsidRDefault="00DC7ADC"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 xml:space="preserve">veikts kosmētiskais remonts garāžu ēkās, atjaunota ventilācijas sistēma garāžās. </w:t>
      </w:r>
    </w:p>
    <w:p w:rsidR="00481804" w:rsidRDefault="00481804" w:rsidP="00A47D02">
      <w:pPr>
        <w:pStyle w:val="Sarakstarindkopa"/>
        <w:numPr>
          <w:ilvl w:val="1"/>
          <w:numId w:val="3"/>
        </w:numPr>
        <w:spacing w:after="0"/>
        <w:jc w:val="both"/>
        <w:rPr>
          <w:rFonts w:ascii="Times New Roman" w:hAnsi="Times New Roman" w:cs="Times New Roman"/>
          <w:b/>
        </w:rPr>
      </w:pPr>
      <w:r w:rsidRPr="00481804">
        <w:rPr>
          <w:rFonts w:ascii="Times New Roman" w:hAnsi="Times New Roman" w:cs="Times New Roman"/>
          <w:b/>
        </w:rPr>
        <w:t xml:space="preserve"> informācijas tehnoloģiju risinājumu pilnveidošana sai</w:t>
      </w:r>
      <w:r w:rsidR="00D11324">
        <w:rPr>
          <w:rFonts w:ascii="Times New Roman" w:hAnsi="Times New Roman" w:cs="Times New Roman"/>
          <w:b/>
        </w:rPr>
        <w:t>mnieciskās darbības uzlabošanai</w:t>
      </w:r>
    </w:p>
    <w:p w:rsidR="00091B7B" w:rsidRDefault="00DC7ADC"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d</w:t>
      </w:r>
      <w:r w:rsidR="00091B7B">
        <w:rPr>
          <w:rFonts w:ascii="Times New Roman" w:hAnsi="Times New Roman" w:cs="Times New Roman"/>
        </w:rPr>
        <w:t>atortehnikas un perifērijas iekārtu modernizācija- nol</w:t>
      </w:r>
      <w:r>
        <w:rPr>
          <w:rFonts w:ascii="Times New Roman" w:hAnsi="Times New Roman" w:cs="Times New Roman"/>
        </w:rPr>
        <w:t>ietoto tehnikas vienību nomaiņa;</w:t>
      </w:r>
    </w:p>
    <w:p w:rsidR="00DC7ADC" w:rsidRDefault="00DC7ADC"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informācijas sistēmas papildināšana, modernizācija un pielāgošana saimnieciskās darbības vajadzībām</w:t>
      </w:r>
    </w:p>
    <w:p w:rsidR="00481804" w:rsidRPr="00D11324" w:rsidRDefault="00481804" w:rsidP="00A47D02">
      <w:pPr>
        <w:pStyle w:val="Sarakstarindkopa"/>
        <w:numPr>
          <w:ilvl w:val="1"/>
          <w:numId w:val="3"/>
        </w:numPr>
        <w:spacing w:after="0"/>
        <w:jc w:val="both"/>
        <w:rPr>
          <w:rFonts w:ascii="Times New Roman" w:hAnsi="Times New Roman" w:cs="Times New Roman"/>
          <w:b/>
        </w:rPr>
      </w:pPr>
      <w:r w:rsidRPr="00D11324">
        <w:rPr>
          <w:rFonts w:ascii="Times New Roman" w:hAnsi="Times New Roman" w:cs="Times New Roman"/>
          <w:b/>
        </w:rPr>
        <w:t xml:space="preserve"> personāla profesionālo </w:t>
      </w:r>
      <w:r w:rsidR="008E14B7" w:rsidRPr="00D11324">
        <w:rPr>
          <w:rFonts w:ascii="Times New Roman" w:hAnsi="Times New Roman" w:cs="Times New Roman"/>
          <w:b/>
        </w:rPr>
        <w:t>zināšanu</w:t>
      </w:r>
      <w:r w:rsidRPr="00D11324">
        <w:rPr>
          <w:rFonts w:ascii="Times New Roman" w:hAnsi="Times New Roman" w:cs="Times New Roman"/>
          <w:b/>
        </w:rPr>
        <w:t xml:space="preserve"> un prasmju pilnveidošana</w:t>
      </w:r>
      <w:r w:rsidRPr="00D11324">
        <w:rPr>
          <w:rFonts w:ascii="Times New Roman" w:hAnsi="Times New Roman" w:cs="Times New Roman"/>
          <w:b/>
          <w:sz w:val="28"/>
          <w:szCs w:val="28"/>
          <w:highlight w:val="yellow"/>
        </w:rPr>
        <w:t xml:space="preserve"> </w:t>
      </w:r>
    </w:p>
    <w:p w:rsidR="00D11324" w:rsidRDefault="008C1F1F"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d</w:t>
      </w:r>
      <w:r w:rsidR="00D11324">
        <w:rPr>
          <w:rFonts w:ascii="Times New Roman" w:hAnsi="Times New Roman" w:cs="Times New Roman"/>
        </w:rPr>
        <w:t>arbiniekiem regulāri tiek nodrošinātas kvalifikācijas paaugstināšanas apmācības un kursi.</w:t>
      </w:r>
      <w:r w:rsidR="00171A4B">
        <w:rPr>
          <w:rFonts w:ascii="Times New Roman" w:hAnsi="Times New Roman" w:cs="Times New Roman"/>
        </w:rPr>
        <w:t xml:space="preserve"> 2017.gadā ir apmeklēti kursi elektriķiem, celtņu operatoriem</w:t>
      </w:r>
      <w:r w:rsidR="003D7D52">
        <w:rPr>
          <w:rFonts w:ascii="Times New Roman" w:hAnsi="Times New Roman" w:cs="Times New Roman"/>
        </w:rPr>
        <w:t>, santehniķiem, seminār</w:t>
      </w:r>
      <w:r w:rsidR="00C85EFB">
        <w:rPr>
          <w:rFonts w:ascii="Times New Roman" w:hAnsi="Times New Roman" w:cs="Times New Roman"/>
        </w:rPr>
        <w:t>s</w:t>
      </w:r>
      <w:r w:rsidR="003D7D52">
        <w:rPr>
          <w:rFonts w:ascii="Times New Roman" w:hAnsi="Times New Roman" w:cs="Times New Roman"/>
        </w:rPr>
        <w:t xml:space="preserve"> par augu aizsardzības līdzekļu lietošanu. Apmeklēta konference Latvijas veterinārārstu biedrībā. Iegūta </w:t>
      </w:r>
      <w:r w:rsidR="008557BC">
        <w:rPr>
          <w:rFonts w:ascii="Times New Roman" w:hAnsi="Times New Roman" w:cs="Times New Roman"/>
        </w:rPr>
        <w:t xml:space="preserve">viena </w:t>
      </w:r>
      <w:r w:rsidR="003D7D52">
        <w:rPr>
          <w:rFonts w:ascii="Times New Roman" w:hAnsi="Times New Roman" w:cs="Times New Roman"/>
        </w:rPr>
        <w:t xml:space="preserve">datu aizsardzības speciālista kvalifikācija, papildinātas zināšanas grāmatvedības semināros un </w:t>
      </w:r>
      <w:r w:rsidR="0015322E">
        <w:rPr>
          <w:rFonts w:ascii="Times New Roman" w:hAnsi="Times New Roman" w:cs="Times New Roman"/>
        </w:rPr>
        <w:t>apsaimniekošanas aktualitātēs;</w:t>
      </w:r>
    </w:p>
    <w:p w:rsidR="0015322E" w:rsidRDefault="00552922" w:rsidP="00A47D02">
      <w:pPr>
        <w:pStyle w:val="Sarakstarindkopa"/>
        <w:numPr>
          <w:ilvl w:val="0"/>
          <w:numId w:val="4"/>
        </w:numPr>
        <w:spacing w:after="0"/>
        <w:jc w:val="both"/>
        <w:rPr>
          <w:rFonts w:ascii="Times New Roman" w:hAnsi="Times New Roman" w:cs="Times New Roman"/>
        </w:rPr>
      </w:pPr>
      <w:r>
        <w:rPr>
          <w:rFonts w:ascii="Times New Roman" w:hAnsi="Times New Roman" w:cs="Times New Roman"/>
        </w:rPr>
        <w:t>m</w:t>
      </w:r>
      <w:r w:rsidR="0015322E">
        <w:rPr>
          <w:rFonts w:ascii="Times New Roman" w:hAnsi="Times New Roman" w:cs="Times New Roman"/>
        </w:rPr>
        <w:t xml:space="preserve">ācību iestāžu programmu ietvaros </w:t>
      </w:r>
      <w:r>
        <w:rPr>
          <w:rFonts w:ascii="Times New Roman" w:hAnsi="Times New Roman" w:cs="Times New Roman"/>
        </w:rPr>
        <w:t>seši</w:t>
      </w:r>
      <w:r w:rsidR="0015322E">
        <w:rPr>
          <w:rFonts w:ascii="Times New Roman" w:hAnsi="Times New Roman" w:cs="Times New Roman"/>
        </w:rPr>
        <w:t xml:space="preserve"> praktika</w:t>
      </w:r>
      <w:r>
        <w:rPr>
          <w:rFonts w:ascii="Times New Roman" w:hAnsi="Times New Roman" w:cs="Times New Roman"/>
        </w:rPr>
        <w:t>n</w:t>
      </w:r>
      <w:r w:rsidR="0015322E">
        <w:rPr>
          <w:rFonts w:ascii="Times New Roman" w:hAnsi="Times New Roman" w:cs="Times New Roman"/>
        </w:rPr>
        <w:t xml:space="preserve">ti pilnveidoja savas zināšanas un </w:t>
      </w:r>
      <w:r w:rsidR="008E14B7">
        <w:rPr>
          <w:rFonts w:ascii="Times New Roman" w:hAnsi="Times New Roman" w:cs="Times New Roman"/>
        </w:rPr>
        <w:t>praktiskās</w:t>
      </w:r>
      <w:r w:rsidR="0015322E">
        <w:rPr>
          <w:rFonts w:ascii="Times New Roman" w:hAnsi="Times New Roman" w:cs="Times New Roman"/>
        </w:rPr>
        <w:t xml:space="preserve"> iemaņas </w:t>
      </w:r>
      <w:r>
        <w:rPr>
          <w:rFonts w:ascii="Times New Roman" w:hAnsi="Times New Roman" w:cs="Times New Roman"/>
        </w:rPr>
        <w:t>grāmatvedībā, personālvadībā, lietvedībā un jurisprudencē.</w:t>
      </w:r>
    </w:p>
    <w:p w:rsidR="00171A4B" w:rsidRDefault="00171A4B" w:rsidP="00A47D02">
      <w:pPr>
        <w:pStyle w:val="Sarakstarindkopa"/>
        <w:spacing w:after="0"/>
        <w:ind w:left="1440"/>
        <w:jc w:val="both"/>
        <w:rPr>
          <w:rFonts w:ascii="Times New Roman" w:hAnsi="Times New Roman" w:cs="Times New Roman"/>
        </w:rPr>
      </w:pPr>
    </w:p>
    <w:bookmarkEnd w:id="0"/>
    <w:p w:rsidR="002542F4" w:rsidRPr="00D11324" w:rsidRDefault="002542F4" w:rsidP="00C85EFB">
      <w:pPr>
        <w:pStyle w:val="Sarakstarindkopa"/>
        <w:spacing w:after="0"/>
        <w:ind w:left="1440"/>
        <w:jc w:val="both"/>
        <w:rPr>
          <w:rFonts w:ascii="Times New Roman" w:hAnsi="Times New Roman" w:cs="Times New Roman"/>
        </w:rPr>
      </w:pPr>
    </w:p>
    <w:sectPr w:rsidR="002542F4" w:rsidRPr="00D11324" w:rsidSect="00091793">
      <w:pgSz w:w="11906" w:h="17338"/>
      <w:pgMar w:top="1134" w:right="567" w:bottom="289"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5F10"/>
    <w:multiLevelType w:val="multilevel"/>
    <w:tmpl w:val="789C81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416663C"/>
    <w:multiLevelType w:val="multilevel"/>
    <w:tmpl w:val="789C81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4A50164C"/>
    <w:multiLevelType w:val="hybridMultilevel"/>
    <w:tmpl w:val="8CE6C86E"/>
    <w:lvl w:ilvl="0" w:tplc="5E2C3BAC">
      <w:start w:val="5"/>
      <w:numFmt w:val="bullet"/>
      <w:lvlText w:val="-"/>
      <w:lvlJc w:val="left"/>
      <w:pPr>
        <w:ind w:left="1440" w:hanging="360"/>
      </w:pPr>
      <w:rPr>
        <w:rFonts w:ascii="Times New Roman" w:eastAsiaTheme="minorHAnsi"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nsid w:val="71D4191F"/>
    <w:multiLevelType w:val="hybridMultilevel"/>
    <w:tmpl w:val="139A65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6F"/>
    <w:rsid w:val="00026E38"/>
    <w:rsid w:val="0003170C"/>
    <w:rsid w:val="00091793"/>
    <w:rsid w:val="00091B7B"/>
    <w:rsid w:val="000B5F33"/>
    <w:rsid w:val="000F06A0"/>
    <w:rsid w:val="000F726D"/>
    <w:rsid w:val="00143AC0"/>
    <w:rsid w:val="00144BA5"/>
    <w:rsid w:val="00145216"/>
    <w:rsid w:val="0014759B"/>
    <w:rsid w:val="0015322E"/>
    <w:rsid w:val="00171A4B"/>
    <w:rsid w:val="001D1FD4"/>
    <w:rsid w:val="002542F4"/>
    <w:rsid w:val="00296312"/>
    <w:rsid w:val="002B066F"/>
    <w:rsid w:val="002B272E"/>
    <w:rsid w:val="002C0ED7"/>
    <w:rsid w:val="002D5976"/>
    <w:rsid w:val="00307C44"/>
    <w:rsid w:val="0033388E"/>
    <w:rsid w:val="00342E8D"/>
    <w:rsid w:val="003715CF"/>
    <w:rsid w:val="003A2279"/>
    <w:rsid w:val="003D7D52"/>
    <w:rsid w:val="00440419"/>
    <w:rsid w:val="0044225D"/>
    <w:rsid w:val="0046098A"/>
    <w:rsid w:val="00477023"/>
    <w:rsid w:val="00481804"/>
    <w:rsid w:val="005031CD"/>
    <w:rsid w:val="00536CC9"/>
    <w:rsid w:val="00541201"/>
    <w:rsid w:val="00552922"/>
    <w:rsid w:val="0058568C"/>
    <w:rsid w:val="00586817"/>
    <w:rsid w:val="005A70FD"/>
    <w:rsid w:val="005C052A"/>
    <w:rsid w:val="005C69AB"/>
    <w:rsid w:val="005F3EBB"/>
    <w:rsid w:val="006209AD"/>
    <w:rsid w:val="00625471"/>
    <w:rsid w:val="00632531"/>
    <w:rsid w:val="00655727"/>
    <w:rsid w:val="0069077C"/>
    <w:rsid w:val="006C52E4"/>
    <w:rsid w:val="006D7135"/>
    <w:rsid w:val="006E0D50"/>
    <w:rsid w:val="00711630"/>
    <w:rsid w:val="00721669"/>
    <w:rsid w:val="00731CB0"/>
    <w:rsid w:val="00765D99"/>
    <w:rsid w:val="00772C9A"/>
    <w:rsid w:val="007B7FE5"/>
    <w:rsid w:val="007E3B9F"/>
    <w:rsid w:val="008144D6"/>
    <w:rsid w:val="00831956"/>
    <w:rsid w:val="00832878"/>
    <w:rsid w:val="00836E29"/>
    <w:rsid w:val="00841760"/>
    <w:rsid w:val="008557BC"/>
    <w:rsid w:val="0088454D"/>
    <w:rsid w:val="00890D02"/>
    <w:rsid w:val="008C0763"/>
    <w:rsid w:val="008C1F1F"/>
    <w:rsid w:val="008C3BC3"/>
    <w:rsid w:val="008C6457"/>
    <w:rsid w:val="008E14B7"/>
    <w:rsid w:val="008E38BA"/>
    <w:rsid w:val="008F0AAF"/>
    <w:rsid w:val="009206DF"/>
    <w:rsid w:val="00962E45"/>
    <w:rsid w:val="009651FF"/>
    <w:rsid w:val="00973FD6"/>
    <w:rsid w:val="009B18AC"/>
    <w:rsid w:val="009B5403"/>
    <w:rsid w:val="009D6E9A"/>
    <w:rsid w:val="00A136F6"/>
    <w:rsid w:val="00A15145"/>
    <w:rsid w:val="00A266DD"/>
    <w:rsid w:val="00A33056"/>
    <w:rsid w:val="00A3748A"/>
    <w:rsid w:val="00A47D02"/>
    <w:rsid w:val="00A574C3"/>
    <w:rsid w:val="00A77EB4"/>
    <w:rsid w:val="00AB44CA"/>
    <w:rsid w:val="00AE5126"/>
    <w:rsid w:val="00B04F0F"/>
    <w:rsid w:val="00B13EA6"/>
    <w:rsid w:val="00B45D25"/>
    <w:rsid w:val="00B765E8"/>
    <w:rsid w:val="00C10544"/>
    <w:rsid w:val="00C21A1C"/>
    <w:rsid w:val="00C45D2D"/>
    <w:rsid w:val="00C83CFB"/>
    <w:rsid w:val="00C85EFB"/>
    <w:rsid w:val="00C91822"/>
    <w:rsid w:val="00CA5EAE"/>
    <w:rsid w:val="00CB3622"/>
    <w:rsid w:val="00CC3212"/>
    <w:rsid w:val="00CD2D09"/>
    <w:rsid w:val="00CE71CE"/>
    <w:rsid w:val="00CF4314"/>
    <w:rsid w:val="00D01DD9"/>
    <w:rsid w:val="00D11324"/>
    <w:rsid w:val="00D14408"/>
    <w:rsid w:val="00D413BA"/>
    <w:rsid w:val="00D7504F"/>
    <w:rsid w:val="00D86DC7"/>
    <w:rsid w:val="00D94071"/>
    <w:rsid w:val="00D96E87"/>
    <w:rsid w:val="00DC7ADC"/>
    <w:rsid w:val="00DF1C6B"/>
    <w:rsid w:val="00E64533"/>
    <w:rsid w:val="00E77263"/>
    <w:rsid w:val="00E8469B"/>
    <w:rsid w:val="00E93018"/>
    <w:rsid w:val="00ED34CF"/>
    <w:rsid w:val="00EF4503"/>
    <w:rsid w:val="00F144CE"/>
    <w:rsid w:val="00F225F7"/>
    <w:rsid w:val="00F365A3"/>
    <w:rsid w:val="00F95770"/>
    <w:rsid w:val="00FC2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5572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54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73FD6"/>
    <w:pPr>
      <w:ind w:left="720"/>
      <w:contextualSpacing/>
    </w:pPr>
  </w:style>
  <w:style w:type="character" w:styleId="Izteiksmgs">
    <w:name w:val="Strong"/>
    <w:basedOn w:val="Noklusjumarindkopasfonts"/>
    <w:uiPriority w:val="22"/>
    <w:qFormat/>
    <w:rsid w:val="00D86DC7"/>
    <w:rPr>
      <w:b/>
      <w:bCs/>
    </w:rPr>
  </w:style>
  <w:style w:type="character" w:styleId="Hipersaite">
    <w:name w:val="Hyperlink"/>
    <w:basedOn w:val="Noklusjumarindkopasfonts"/>
    <w:uiPriority w:val="99"/>
    <w:unhideWhenUsed/>
    <w:rsid w:val="00C105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655727"/>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59"/>
    <w:rsid w:val="0054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973FD6"/>
    <w:pPr>
      <w:ind w:left="720"/>
      <w:contextualSpacing/>
    </w:pPr>
  </w:style>
  <w:style w:type="character" w:styleId="Izteiksmgs">
    <w:name w:val="Strong"/>
    <w:basedOn w:val="Noklusjumarindkopasfonts"/>
    <w:uiPriority w:val="22"/>
    <w:qFormat/>
    <w:rsid w:val="00D86DC7"/>
    <w:rPr>
      <w:b/>
      <w:bCs/>
    </w:rPr>
  </w:style>
  <w:style w:type="character" w:styleId="Hipersaite">
    <w:name w:val="Hyperlink"/>
    <w:basedOn w:val="Noklusjumarindkopasfonts"/>
    <w:uiPriority w:val="99"/>
    <w:unhideWhenUsed/>
    <w:rsid w:val="00C105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3041">
      <w:bodyDiv w:val="1"/>
      <w:marLeft w:val="0"/>
      <w:marRight w:val="0"/>
      <w:marTop w:val="0"/>
      <w:marBottom w:val="0"/>
      <w:divBdr>
        <w:top w:val="none" w:sz="0" w:space="0" w:color="auto"/>
        <w:left w:val="none" w:sz="0" w:space="0" w:color="auto"/>
        <w:bottom w:val="none" w:sz="0" w:space="0" w:color="auto"/>
        <w:right w:val="none" w:sz="0" w:space="0" w:color="auto"/>
      </w:divBdr>
    </w:div>
    <w:div w:id="146748657">
      <w:bodyDiv w:val="1"/>
      <w:marLeft w:val="0"/>
      <w:marRight w:val="0"/>
      <w:marTop w:val="0"/>
      <w:marBottom w:val="0"/>
      <w:divBdr>
        <w:top w:val="none" w:sz="0" w:space="0" w:color="auto"/>
        <w:left w:val="none" w:sz="0" w:space="0" w:color="auto"/>
        <w:bottom w:val="none" w:sz="0" w:space="0" w:color="auto"/>
        <w:right w:val="none" w:sz="0" w:space="0" w:color="auto"/>
      </w:divBdr>
    </w:div>
    <w:div w:id="663162474">
      <w:bodyDiv w:val="1"/>
      <w:marLeft w:val="0"/>
      <w:marRight w:val="0"/>
      <w:marTop w:val="0"/>
      <w:marBottom w:val="0"/>
      <w:divBdr>
        <w:top w:val="none" w:sz="0" w:space="0" w:color="auto"/>
        <w:left w:val="none" w:sz="0" w:space="0" w:color="auto"/>
        <w:bottom w:val="none" w:sz="0" w:space="0" w:color="auto"/>
        <w:right w:val="none" w:sz="0" w:space="0" w:color="auto"/>
      </w:divBdr>
    </w:div>
    <w:div w:id="1215504752">
      <w:bodyDiv w:val="1"/>
      <w:marLeft w:val="0"/>
      <w:marRight w:val="0"/>
      <w:marTop w:val="0"/>
      <w:marBottom w:val="0"/>
      <w:divBdr>
        <w:top w:val="none" w:sz="0" w:space="0" w:color="auto"/>
        <w:left w:val="none" w:sz="0" w:space="0" w:color="auto"/>
        <w:bottom w:val="none" w:sz="0" w:space="0" w:color="auto"/>
        <w:right w:val="none" w:sz="0" w:space="0" w:color="auto"/>
      </w:divBdr>
    </w:div>
    <w:div w:id="1529026647">
      <w:bodyDiv w:val="1"/>
      <w:marLeft w:val="0"/>
      <w:marRight w:val="0"/>
      <w:marTop w:val="0"/>
      <w:marBottom w:val="0"/>
      <w:divBdr>
        <w:top w:val="none" w:sz="0" w:space="0" w:color="auto"/>
        <w:left w:val="none" w:sz="0" w:space="0" w:color="auto"/>
        <w:bottom w:val="none" w:sz="0" w:space="0" w:color="auto"/>
        <w:right w:val="none" w:sz="0" w:space="0" w:color="auto"/>
      </w:divBdr>
    </w:div>
    <w:div w:id="2044749528">
      <w:bodyDiv w:val="1"/>
      <w:marLeft w:val="0"/>
      <w:marRight w:val="0"/>
      <w:marTop w:val="0"/>
      <w:marBottom w:val="0"/>
      <w:divBdr>
        <w:top w:val="none" w:sz="0" w:space="0" w:color="auto"/>
        <w:left w:val="none" w:sz="0" w:space="0" w:color="auto"/>
        <w:bottom w:val="none" w:sz="0" w:space="0" w:color="auto"/>
        <w:right w:val="none" w:sz="0" w:space="0" w:color="auto"/>
      </w:divBdr>
    </w:div>
    <w:div w:id="205326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nam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622A-2416-47E1-9ED4-EF34C1279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1967</TotalTime>
  <Pages>6</Pages>
  <Words>9524</Words>
  <Characters>5429</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aivars</cp:lastModifiedBy>
  <cp:revision>48</cp:revision>
  <cp:lastPrinted>2018-09-17T08:36:00Z</cp:lastPrinted>
  <dcterms:created xsi:type="dcterms:W3CDTF">2018-03-26T14:36:00Z</dcterms:created>
  <dcterms:modified xsi:type="dcterms:W3CDTF">2018-09-20T06:28:00Z</dcterms:modified>
</cp:coreProperties>
</file>